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30CBCD">
      <w:pPr>
        <w:keepNext/>
        <w:keepLines/>
        <w:widowControl w:val="0"/>
        <w:bidi w:val="0"/>
        <w:spacing w:before="120"/>
        <w:jc w:val="center"/>
        <w:outlineLvl w:val="0"/>
        <w:rPr>
          <w:rFonts w:hint="default" w:ascii="Calibri" w:hAnsi="Calibri" w:eastAsia="宋体" w:cs="Calibri"/>
          <w:b/>
          <w:bCs/>
          <w:kern w:val="44"/>
          <w:sz w:val="36"/>
          <w:szCs w:val="36"/>
          <w:lang w:val="en-US" w:eastAsia="zh-CN" w:bidi="ar-SA"/>
        </w:rPr>
      </w:pPr>
      <w:bookmarkStart w:id="0" w:name="_GoBack"/>
      <w:r>
        <w:rPr>
          <w:rFonts w:ascii="Calibri" w:hAnsi="Calibri" w:eastAsia="宋体" w:cs="Calibri"/>
          <w:b/>
          <w:bCs/>
          <w:kern w:val="44"/>
          <w:sz w:val="36"/>
          <w:szCs w:val="36"/>
          <w:lang w:val="en-US" w:eastAsia="zh-CN" w:bidi="ar-SA"/>
        </w:rPr>
        <w:t>第八章 拟签订合同文本</w:t>
      </w:r>
    </w:p>
    <w:bookmarkEnd w:id="0"/>
    <w:p w14:paraId="5ABA2389">
      <w:pPr>
        <w:tabs>
          <w:tab w:val="left" w:pos="735"/>
        </w:tabs>
        <w:autoSpaceDE w:val="0"/>
        <w:autoSpaceDN w:val="0"/>
        <w:adjustRightInd w:val="0"/>
        <w:snapToGrid w:val="0"/>
        <w:spacing w:line="360" w:lineRule="auto"/>
        <w:jc w:val="center"/>
        <w:rPr>
          <w:rFonts w:ascii="宋体" w:hAnsi="宋体" w:eastAsia="宋体" w:cs="宋体"/>
          <w:b/>
          <w:bCs/>
          <w:sz w:val="22"/>
          <w:szCs w:val="28"/>
          <w:lang w:val="zh-CN"/>
        </w:rPr>
      </w:pPr>
      <w:r>
        <w:rPr>
          <w:rFonts w:hint="eastAsia" w:ascii="宋体" w:hAnsi="宋体" w:eastAsia="宋体" w:cs="宋体"/>
          <w:b/>
          <w:sz w:val="22"/>
          <w:szCs w:val="28"/>
          <w:lang w:val="zh-CN"/>
        </w:rPr>
        <w:t>（此合同草案条款，最终签订的合同以采购人确定的合同内容为准）</w:t>
      </w:r>
    </w:p>
    <w:p w14:paraId="72140F1E">
      <w:pPr>
        <w:tabs>
          <w:tab w:val="left" w:pos="4300"/>
        </w:tabs>
        <w:adjustRightInd w:val="0"/>
        <w:snapToGrid w:val="0"/>
        <w:spacing w:line="360" w:lineRule="auto"/>
        <w:ind w:left="3360"/>
        <w:rPr>
          <w:rFonts w:ascii="宋体" w:hAnsi="宋体" w:cs="宋体"/>
          <w:sz w:val="20"/>
        </w:rPr>
        <w:sectPr>
          <w:pgSz w:w="11900" w:h="16840"/>
          <w:pgMar w:top="1440" w:right="1440" w:bottom="1440" w:left="1418" w:header="1020" w:footer="1020" w:gutter="0"/>
          <w:cols w:space="720" w:num="1"/>
          <w:titlePg/>
          <w:docGrid w:linePitch="286" w:charSpace="0"/>
        </w:sectPr>
      </w:pPr>
    </w:p>
    <w:p w14:paraId="37F0921B">
      <w:pPr>
        <w:jc w:val="center"/>
        <w:rPr>
          <w:rFonts w:ascii="宋体" w:hAnsi="宋体"/>
          <w:b/>
          <w:sz w:val="36"/>
          <w:szCs w:val="36"/>
        </w:rPr>
      </w:pPr>
      <w:r>
        <w:rPr>
          <w:rFonts w:hint="eastAsia" w:ascii="宋体" w:hAnsi="宋体"/>
          <w:b/>
          <w:sz w:val="36"/>
          <w:szCs w:val="36"/>
        </w:rPr>
        <w:t>西安市中心血站献血文创品设计制作采购项目</w:t>
      </w:r>
    </w:p>
    <w:p w14:paraId="5C23CBEF">
      <w:pPr>
        <w:jc w:val="center"/>
        <w:rPr>
          <w:rFonts w:ascii="宋体" w:hAnsi="宋体"/>
          <w:b/>
          <w:sz w:val="36"/>
          <w:szCs w:val="36"/>
        </w:rPr>
      </w:pPr>
      <w:r>
        <w:rPr>
          <w:rFonts w:hint="eastAsia" w:ascii="宋体" w:hAnsi="宋体"/>
          <w:b/>
          <w:sz w:val="36"/>
          <w:szCs w:val="36"/>
        </w:rPr>
        <w:t>供 货 合 同</w:t>
      </w:r>
    </w:p>
    <w:p w14:paraId="4F72F496">
      <w:pPr>
        <w:spacing w:line="360" w:lineRule="auto"/>
        <w:ind w:firstLine="140"/>
        <w:rPr>
          <w:rFonts w:ascii="宋体" w:hAnsi="宋体" w:eastAsia="宋体" w:cs="宋体"/>
          <w:color w:val="121212"/>
          <w:sz w:val="24"/>
          <w:szCs w:val="24"/>
        </w:rPr>
      </w:pPr>
      <w:r>
        <w:rPr>
          <w:rFonts w:hint="eastAsia" w:ascii="宋体" w:hAnsi="宋体" w:eastAsia="宋体" w:cs="宋体"/>
          <w:color w:val="121212"/>
          <w:sz w:val="24"/>
          <w:szCs w:val="24"/>
        </w:rPr>
        <w:t>甲方：西安市中心血站</w:t>
      </w:r>
    </w:p>
    <w:p w14:paraId="6ED096EA">
      <w:pPr>
        <w:spacing w:before="59" w:line="360" w:lineRule="auto"/>
        <w:ind w:firstLine="120"/>
        <w:rPr>
          <w:rFonts w:ascii="宋体" w:hAnsi="宋体" w:eastAsia="宋体" w:cs="宋体"/>
          <w:color w:val="121212"/>
          <w:sz w:val="24"/>
          <w:szCs w:val="24"/>
        </w:rPr>
      </w:pPr>
      <w:r>
        <w:rPr>
          <w:rFonts w:hint="eastAsia" w:ascii="宋体" w:hAnsi="宋体" w:eastAsia="宋体" w:cs="宋体"/>
          <w:color w:val="121212"/>
          <w:sz w:val="24"/>
          <w:szCs w:val="24"/>
        </w:rPr>
        <w:t>乙方：</w:t>
      </w:r>
    </w:p>
    <w:p w14:paraId="2CEBCEF1">
      <w:pPr>
        <w:spacing w:before="14" w:line="360" w:lineRule="auto"/>
        <w:ind w:firstLine="600"/>
        <w:rPr>
          <w:rFonts w:ascii="宋体" w:hAnsi="宋体" w:eastAsia="宋体" w:cs="宋体"/>
          <w:color w:val="121212"/>
          <w:sz w:val="24"/>
          <w:szCs w:val="24"/>
        </w:rPr>
      </w:pPr>
      <w:r>
        <w:rPr>
          <w:rFonts w:hint="eastAsia" w:ascii="宋体" w:hAnsi="宋体" w:eastAsia="宋体" w:cs="宋体"/>
          <w:color w:val="121212"/>
          <w:sz w:val="24"/>
          <w:szCs w:val="24"/>
        </w:rPr>
        <w:t>开瑞项目管理有限公司按照政府采购程序就甲方所需组织采购工作，确定乙方为西安市中心血站献血文创品设计制作采购项目（项目编号：【KRDL】K5-2605037）的成交供应商，依据《中华人民共和国民法典》的规定，经甲方和乙方协商，达成如下合同条款，以资共同遵守。</w:t>
      </w:r>
    </w:p>
    <w:p w14:paraId="3E982DCC">
      <w:pPr>
        <w:spacing w:line="360" w:lineRule="auto"/>
        <w:rPr>
          <w:rFonts w:ascii="宋体" w:hAnsi="宋体" w:eastAsia="宋体" w:cs="宋体"/>
          <w:color w:val="121212"/>
          <w:sz w:val="24"/>
          <w:szCs w:val="24"/>
        </w:rPr>
      </w:pPr>
      <w:r>
        <w:rPr>
          <w:rFonts w:hint="eastAsia" w:ascii="宋体" w:hAnsi="宋体" w:eastAsia="宋体" w:cs="宋体"/>
          <w:b/>
          <w:color w:val="121212"/>
          <w:sz w:val="24"/>
          <w:szCs w:val="24"/>
        </w:rPr>
        <w:t>一、合同标的</w:t>
      </w:r>
    </w:p>
    <w:tbl>
      <w:tblPr>
        <w:tblStyle w:val="3"/>
        <w:tblW w:w="8620" w:type="dxa"/>
        <w:tblInd w:w="138"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 w:type="dxa"/>
          <w:bottom w:w="0" w:type="dxa"/>
          <w:right w:w="10" w:type="dxa"/>
        </w:tblCellMar>
      </w:tblPr>
      <w:tblGrid>
        <w:gridCol w:w="596"/>
        <w:gridCol w:w="1383"/>
        <w:gridCol w:w="1466"/>
        <w:gridCol w:w="817"/>
        <w:gridCol w:w="1233"/>
        <w:gridCol w:w="950"/>
        <w:gridCol w:w="1300"/>
        <w:gridCol w:w="875"/>
      </w:tblGrid>
      <w:tr w14:paraId="52829BA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60" w:hRule="atLeast"/>
        </w:trPr>
        <w:tc>
          <w:tcPr>
            <w:tcW w:w="596" w:type="dxa"/>
            <w:tcBorders>
              <w:top w:val="single" w:color="000000" w:sz="4" w:space="0"/>
              <w:left w:val="single" w:color="000000" w:sz="4" w:space="0"/>
              <w:bottom w:val="single" w:color="000000" w:sz="4" w:space="0"/>
              <w:right w:val="single" w:color="000000" w:sz="4" w:space="0"/>
            </w:tcBorders>
          </w:tcPr>
          <w:p w14:paraId="28C8AE56">
            <w:pPr>
              <w:spacing w:line="360" w:lineRule="auto"/>
              <w:jc w:val="center"/>
              <w:rPr>
                <w:rFonts w:ascii="宋体" w:hAnsi="宋体" w:eastAsia="宋体" w:cs="宋体"/>
                <w:color w:val="121212"/>
                <w:sz w:val="24"/>
                <w:szCs w:val="24"/>
              </w:rPr>
            </w:pPr>
            <w:r>
              <w:rPr>
                <w:rFonts w:hint="eastAsia" w:ascii="宋体" w:hAnsi="宋体" w:eastAsia="宋体" w:cs="宋体"/>
                <w:color w:val="121212"/>
                <w:sz w:val="24"/>
                <w:szCs w:val="24"/>
              </w:rPr>
              <w:t>序号</w:t>
            </w:r>
          </w:p>
        </w:tc>
        <w:tc>
          <w:tcPr>
            <w:tcW w:w="1383" w:type="dxa"/>
            <w:tcBorders>
              <w:top w:val="single" w:color="000000" w:sz="4" w:space="0"/>
              <w:left w:val="nil"/>
              <w:bottom w:val="single" w:color="000000" w:sz="4" w:space="0"/>
              <w:right w:val="single" w:color="000000" w:sz="4" w:space="0"/>
            </w:tcBorders>
          </w:tcPr>
          <w:p w14:paraId="3A378CD6">
            <w:pPr>
              <w:spacing w:line="360" w:lineRule="auto"/>
              <w:jc w:val="center"/>
              <w:rPr>
                <w:rFonts w:ascii="宋体" w:hAnsi="宋体" w:eastAsia="宋体" w:cs="宋体"/>
                <w:color w:val="121212"/>
                <w:sz w:val="24"/>
                <w:szCs w:val="24"/>
              </w:rPr>
            </w:pPr>
            <w:r>
              <w:rPr>
                <w:rFonts w:hint="eastAsia" w:ascii="宋体" w:hAnsi="宋体" w:eastAsia="宋体" w:cs="宋体"/>
                <w:color w:val="121212"/>
                <w:sz w:val="24"/>
                <w:szCs w:val="24"/>
              </w:rPr>
              <w:t>货物名称</w:t>
            </w:r>
          </w:p>
        </w:tc>
        <w:tc>
          <w:tcPr>
            <w:tcW w:w="1466" w:type="dxa"/>
            <w:tcBorders>
              <w:top w:val="single" w:color="000000" w:sz="4" w:space="0"/>
              <w:left w:val="nil"/>
              <w:bottom w:val="single" w:color="000000" w:sz="4" w:space="0"/>
              <w:right w:val="single" w:color="000000" w:sz="4" w:space="0"/>
            </w:tcBorders>
          </w:tcPr>
          <w:p w14:paraId="68047339">
            <w:pPr>
              <w:spacing w:line="360" w:lineRule="auto"/>
              <w:jc w:val="center"/>
              <w:rPr>
                <w:rFonts w:ascii="宋体" w:hAnsi="宋体" w:eastAsia="宋体" w:cs="宋体"/>
                <w:color w:val="121212"/>
                <w:sz w:val="24"/>
                <w:szCs w:val="24"/>
              </w:rPr>
            </w:pPr>
            <w:r>
              <w:rPr>
                <w:rFonts w:hint="eastAsia" w:ascii="宋体" w:hAnsi="宋体" w:eastAsia="宋体" w:cs="宋体"/>
                <w:color w:val="121212"/>
                <w:sz w:val="24"/>
                <w:szCs w:val="24"/>
              </w:rPr>
              <w:t>制造厂商</w:t>
            </w:r>
          </w:p>
        </w:tc>
        <w:tc>
          <w:tcPr>
            <w:tcW w:w="817" w:type="dxa"/>
            <w:tcBorders>
              <w:top w:val="single" w:color="000000" w:sz="4" w:space="0"/>
              <w:left w:val="nil"/>
              <w:bottom w:val="single" w:color="000000" w:sz="4" w:space="0"/>
              <w:right w:val="single" w:color="000000" w:sz="4" w:space="0"/>
            </w:tcBorders>
          </w:tcPr>
          <w:p w14:paraId="67DFFE40">
            <w:pPr>
              <w:spacing w:line="360" w:lineRule="auto"/>
              <w:jc w:val="center"/>
              <w:rPr>
                <w:rFonts w:ascii="宋体" w:hAnsi="宋体" w:eastAsia="宋体" w:cs="宋体"/>
                <w:color w:val="121212"/>
                <w:sz w:val="24"/>
                <w:szCs w:val="24"/>
              </w:rPr>
            </w:pPr>
            <w:r>
              <w:rPr>
                <w:rFonts w:hint="eastAsia" w:ascii="宋体" w:hAnsi="宋体" w:eastAsia="宋体" w:cs="宋体"/>
                <w:color w:val="121212"/>
                <w:sz w:val="24"/>
                <w:szCs w:val="24"/>
              </w:rPr>
              <w:t>规格</w:t>
            </w:r>
          </w:p>
        </w:tc>
        <w:tc>
          <w:tcPr>
            <w:tcW w:w="1233" w:type="dxa"/>
            <w:tcBorders>
              <w:top w:val="single" w:color="000000" w:sz="4" w:space="0"/>
              <w:left w:val="nil"/>
              <w:bottom w:val="single" w:color="000000" w:sz="4" w:space="0"/>
              <w:right w:val="single" w:color="000000" w:sz="4" w:space="0"/>
            </w:tcBorders>
          </w:tcPr>
          <w:p w14:paraId="7CB4CFFD">
            <w:pPr>
              <w:spacing w:line="360" w:lineRule="auto"/>
              <w:jc w:val="center"/>
              <w:rPr>
                <w:rFonts w:ascii="宋体" w:hAnsi="宋体" w:eastAsia="宋体" w:cs="宋体"/>
                <w:color w:val="121212"/>
                <w:sz w:val="24"/>
                <w:szCs w:val="24"/>
              </w:rPr>
            </w:pPr>
            <w:r>
              <w:rPr>
                <w:rFonts w:hint="eastAsia" w:ascii="宋体" w:hAnsi="宋体" w:eastAsia="宋体" w:cs="宋体"/>
                <w:color w:val="121212"/>
                <w:sz w:val="24"/>
                <w:szCs w:val="24"/>
              </w:rPr>
              <w:t>单价（元）</w:t>
            </w:r>
          </w:p>
        </w:tc>
        <w:tc>
          <w:tcPr>
            <w:tcW w:w="950" w:type="dxa"/>
            <w:tcBorders>
              <w:top w:val="single" w:color="000000" w:sz="4" w:space="0"/>
              <w:left w:val="nil"/>
              <w:bottom w:val="single" w:color="000000" w:sz="4" w:space="0"/>
              <w:right w:val="single" w:color="000000" w:sz="4" w:space="0"/>
            </w:tcBorders>
          </w:tcPr>
          <w:p w14:paraId="2AE2BDA6">
            <w:pPr>
              <w:spacing w:line="360" w:lineRule="auto"/>
              <w:jc w:val="center"/>
              <w:rPr>
                <w:rFonts w:ascii="宋体" w:hAnsi="宋体" w:eastAsia="宋体" w:cs="宋体"/>
                <w:color w:val="121212"/>
                <w:sz w:val="24"/>
                <w:szCs w:val="24"/>
              </w:rPr>
            </w:pPr>
            <w:r>
              <w:rPr>
                <w:rFonts w:hint="eastAsia" w:ascii="宋体" w:hAnsi="宋体" w:eastAsia="宋体" w:cs="宋体"/>
                <w:color w:val="121212"/>
                <w:sz w:val="24"/>
                <w:szCs w:val="24"/>
              </w:rPr>
              <w:t>单位</w:t>
            </w:r>
          </w:p>
        </w:tc>
        <w:tc>
          <w:tcPr>
            <w:tcW w:w="1300" w:type="dxa"/>
            <w:tcBorders>
              <w:top w:val="single" w:color="000000" w:sz="4" w:space="0"/>
              <w:left w:val="nil"/>
              <w:bottom w:val="single" w:color="000000" w:sz="4" w:space="0"/>
              <w:right w:val="single" w:color="000000" w:sz="4" w:space="0"/>
            </w:tcBorders>
          </w:tcPr>
          <w:p w14:paraId="236FAC72">
            <w:pPr>
              <w:spacing w:line="360" w:lineRule="auto"/>
              <w:jc w:val="center"/>
              <w:rPr>
                <w:rFonts w:ascii="宋体" w:hAnsi="宋体" w:eastAsia="宋体" w:cs="宋体"/>
                <w:color w:val="121212"/>
                <w:sz w:val="24"/>
                <w:szCs w:val="24"/>
              </w:rPr>
            </w:pPr>
            <w:r>
              <w:rPr>
                <w:rFonts w:hint="eastAsia" w:ascii="宋体" w:hAnsi="宋体" w:eastAsia="宋体" w:cs="宋体"/>
                <w:color w:val="121212"/>
                <w:sz w:val="24"/>
                <w:szCs w:val="24"/>
              </w:rPr>
              <w:t>合计（元）</w:t>
            </w:r>
          </w:p>
        </w:tc>
        <w:tc>
          <w:tcPr>
            <w:tcW w:w="875" w:type="dxa"/>
            <w:tcBorders>
              <w:top w:val="single" w:color="000000" w:sz="4" w:space="0"/>
              <w:left w:val="nil"/>
              <w:bottom w:val="single" w:color="000000" w:sz="4" w:space="0"/>
              <w:right w:val="single" w:color="000000" w:sz="4" w:space="0"/>
            </w:tcBorders>
          </w:tcPr>
          <w:p w14:paraId="2CEA6DCB">
            <w:pPr>
              <w:spacing w:line="360" w:lineRule="auto"/>
              <w:jc w:val="center"/>
              <w:rPr>
                <w:rFonts w:ascii="宋体" w:hAnsi="宋体" w:eastAsia="宋体" w:cs="宋体"/>
                <w:color w:val="121212"/>
                <w:sz w:val="24"/>
                <w:szCs w:val="24"/>
              </w:rPr>
            </w:pPr>
            <w:r>
              <w:rPr>
                <w:rFonts w:hint="eastAsia" w:ascii="宋体" w:hAnsi="宋体" w:eastAsia="宋体" w:cs="宋体"/>
                <w:color w:val="121212"/>
                <w:sz w:val="24"/>
                <w:szCs w:val="24"/>
              </w:rPr>
              <w:t>备注</w:t>
            </w:r>
          </w:p>
        </w:tc>
      </w:tr>
      <w:tr w14:paraId="4C0EF11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627" w:hRule="atLeast"/>
        </w:trPr>
        <w:tc>
          <w:tcPr>
            <w:tcW w:w="596" w:type="dxa"/>
            <w:tcBorders>
              <w:top w:val="single" w:color="000000" w:sz="4" w:space="0"/>
              <w:left w:val="single" w:color="000000" w:sz="4" w:space="0"/>
              <w:bottom w:val="single" w:color="000000" w:sz="4" w:space="0"/>
              <w:right w:val="single" w:color="000000" w:sz="4" w:space="0"/>
            </w:tcBorders>
          </w:tcPr>
          <w:p w14:paraId="55936488">
            <w:pPr>
              <w:spacing w:line="360" w:lineRule="auto"/>
              <w:jc w:val="center"/>
              <w:rPr>
                <w:rFonts w:ascii="宋体" w:hAnsi="宋体" w:eastAsia="宋体" w:cs="宋体"/>
                <w:color w:val="121212"/>
                <w:sz w:val="24"/>
                <w:szCs w:val="24"/>
              </w:rPr>
            </w:pPr>
            <w:r>
              <w:rPr>
                <w:rFonts w:hint="eastAsia" w:ascii="宋体" w:hAnsi="宋体" w:eastAsia="宋体" w:cs="宋体"/>
                <w:color w:val="121212"/>
                <w:sz w:val="24"/>
                <w:szCs w:val="24"/>
              </w:rPr>
              <w:t>1</w:t>
            </w:r>
          </w:p>
        </w:tc>
        <w:tc>
          <w:tcPr>
            <w:tcW w:w="1383" w:type="dxa"/>
            <w:tcBorders>
              <w:top w:val="single" w:color="000000" w:sz="4" w:space="0"/>
              <w:left w:val="nil"/>
              <w:bottom w:val="single" w:color="000000" w:sz="4" w:space="0"/>
              <w:right w:val="single" w:color="000000" w:sz="4" w:space="0"/>
            </w:tcBorders>
            <w:vAlign w:val="center"/>
          </w:tcPr>
          <w:p w14:paraId="602F4E9F">
            <w:pPr>
              <w:spacing w:line="360" w:lineRule="auto"/>
              <w:jc w:val="center"/>
              <w:rPr>
                <w:rFonts w:ascii="宋体" w:hAnsi="宋体" w:eastAsia="宋体" w:cs="宋体"/>
                <w:color w:val="121212"/>
                <w:sz w:val="24"/>
                <w:szCs w:val="24"/>
              </w:rPr>
            </w:pPr>
          </w:p>
        </w:tc>
        <w:tc>
          <w:tcPr>
            <w:tcW w:w="1466" w:type="dxa"/>
            <w:tcBorders>
              <w:top w:val="single" w:color="000000" w:sz="4" w:space="0"/>
              <w:left w:val="nil"/>
              <w:bottom w:val="single" w:color="000000" w:sz="4" w:space="0"/>
              <w:right w:val="single" w:color="000000" w:sz="4" w:space="0"/>
            </w:tcBorders>
            <w:vAlign w:val="center"/>
          </w:tcPr>
          <w:p w14:paraId="76496280">
            <w:pPr>
              <w:spacing w:line="360" w:lineRule="auto"/>
              <w:rPr>
                <w:rFonts w:ascii="宋体" w:hAnsi="宋体" w:eastAsia="宋体" w:cs="宋体"/>
                <w:color w:val="121212"/>
                <w:sz w:val="24"/>
                <w:szCs w:val="24"/>
              </w:rPr>
            </w:pPr>
          </w:p>
        </w:tc>
        <w:tc>
          <w:tcPr>
            <w:tcW w:w="817" w:type="dxa"/>
            <w:tcBorders>
              <w:top w:val="single" w:color="000000" w:sz="4" w:space="0"/>
              <w:left w:val="nil"/>
              <w:bottom w:val="single" w:color="000000" w:sz="4" w:space="0"/>
              <w:right w:val="single" w:color="000000" w:sz="4" w:space="0"/>
            </w:tcBorders>
            <w:vAlign w:val="center"/>
          </w:tcPr>
          <w:p w14:paraId="438DC806">
            <w:pPr>
              <w:spacing w:line="360" w:lineRule="auto"/>
              <w:rPr>
                <w:rFonts w:ascii="宋体" w:hAnsi="宋体" w:eastAsia="宋体" w:cs="宋体"/>
                <w:color w:val="121212"/>
                <w:sz w:val="24"/>
                <w:szCs w:val="24"/>
              </w:rPr>
            </w:pPr>
          </w:p>
        </w:tc>
        <w:tc>
          <w:tcPr>
            <w:tcW w:w="1233" w:type="dxa"/>
            <w:tcBorders>
              <w:top w:val="single" w:color="000000" w:sz="4" w:space="0"/>
              <w:left w:val="nil"/>
              <w:bottom w:val="single" w:color="000000" w:sz="4" w:space="0"/>
              <w:right w:val="single" w:color="000000" w:sz="4" w:space="0"/>
            </w:tcBorders>
            <w:vAlign w:val="center"/>
          </w:tcPr>
          <w:p w14:paraId="008129D7">
            <w:pPr>
              <w:spacing w:line="360" w:lineRule="auto"/>
              <w:rPr>
                <w:rFonts w:ascii="宋体" w:hAnsi="宋体" w:eastAsia="宋体" w:cs="宋体"/>
                <w:color w:val="121212"/>
                <w:sz w:val="24"/>
                <w:szCs w:val="24"/>
              </w:rPr>
            </w:pPr>
          </w:p>
        </w:tc>
        <w:tc>
          <w:tcPr>
            <w:tcW w:w="950" w:type="dxa"/>
            <w:tcBorders>
              <w:top w:val="single" w:color="000000" w:sz="4" w:space="0"/>
              <w:left w:val="nil"/>
              <w:bottom w:val="single" w:color="000000" w:sz="4" w:space="0"/>
              <w:right w:val="single" w:color="000000" w:sz="4" w:space="0"/>
            </w:tcBorders>
            <w:vAlign w:val="center"/>
          </w:tcPr>
          <w:p w14:paraId="34ED4FA6">
            <w:pPr>
              <w:spacing w:line="360" w:lineRule="auto"/>
              <w:rPr>
                <w:rFonts w:ascii="宋体" w:hAnsi="宋体" w:eastAsia="宋体" w:cs="宋体"/>
                <w:color w:val="121212"/>
                <w:sz w:val="24"/>
                <w:szCs w:val="24"/>
              </w:rPr>
            </w:pPr>
          </w:p>
        </w:tc>
        <w:tc>
          <w:tcPr>
            <w:tcW w:w="1300" w:type="dxa"/>
            <w:tcBorders>
              <w:top w:val="single" w:color="000000" w:sz="4" w:space="0"/>
              <w:left w:val="nil"/>
              <w:bottom w:val="single" w:color="000000" w:sz="4" w:space="0"/>
              <w:right w:val="single" w:color="000000" w:sz="4" w:space="0"/>
            </w:tcBorders>
            <w:vAlign w:val="center"/>
          </w:tcPr>
          <w:p w14:paraId="6A911DAC">
            <w:pPr>
              <w:spacing w:line="360" w:lineRule="auto"/>
              <w:rPr>
                <w:rFonts w:ascii="宋体" w:hAnsi="宋体" w:eastAsia="宋体" w:cs="宋体"/>
                <w:color w:val="121212"/>
                <w:sz w:val="24"/>
                <w:szCs w:val="24"/>
              </w:rPr>
            </w:pPr>
          </w:p>
        </w:tc>
        <w:tc>
          <w:tcPr>
            <w:tcW w:w="875" w:type="dxa"/>
            <w:tcBorders>
              <w:top w:val="single" w:color="000000" w:sz="4" w:space="0"/>
              <w:left w:val="nil"/>
              <w:bottom w:val="single" w:color="000000" w:sz="4" w:space="0"/>
              <w:right w:val="single" w:color="000000" w:sz="4" w:space="0"/>
            </w:tcBorders>
            <w:vAlign w:val="center"/>
          </w:tcPr>
          <w:p w14:paraId="46B2616C">
            <w:pPr>
              <w:spacing w:line="360" w:lineRule="auto"/>
              <w:rPr>
                <w:rFonts w:ascii="宋体" w:hAnsi="宋体" w:eastAsia="宋体" w:cs="宋体"/>
                <w:color w:val="121212"/>
                <w:sz w:val="24"/>
                <w:szCs w:val="24"/>
              </w:rPr>
            </w:pPr>
          </w:p>
        </w:tc>
      </w:tr>
      <w:tr w14:paraId="7E72DE1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627" w:hRule="atLeast"/>
        </w:trPr>
        <w:tc>
          <w:tcPr>
            <w:tcW w:w="596" w:type="dxa"/>
            <w:tcBorders>
              <w:top w:val="single" w:color="000000" w:sz="4" w:space="0"/>
              <w:left w:val="single" w:color="000000" w:sz="4" w:space="0"/>
              <w:bottom w:val="single" w:color="000000" w:sz="4" w:space="0"/>
              <w:right w:val="single" w:color="000000" w:sz="4" w:space="0"/>
            </w:tcBorders>
          </w:tcPr>
          <w:p w14:paraId="6C50B4A1">
            <w:pPr>
              <w:spacing w:line="360" w:lineRule="auto"/>
              <w:jc w:val="center"/>
              <w:rPr>
                <w:rFonts w:ascii="宋体" w:hAnsi="宋体" w:eastAsia="宋体" w:cs="宋体"/>
                <w:color w:val="121212"/>
                <w:sz w:val="24"/>
                <w:szCs w:val="24"/>
              </w:rPr>
            </w:pPr>
            <w:r>
              <w:rPr>
                <w:rFonts w:hint="eastAsia" w:ascii="宋体" w:hAnsi="宋体" w:eastAsia="宋体" w:cs="宋体"/>
                <w:color w:val="121212"/>
                <w:sz w:val="24"/>
                <w:szCs w:val="24"/>
              </w:rPr>
              <w:t>2</w:t>
            </w:r>
          </w:p>
        </w:tc>
        <w:tc>
          <w:tcPr>
            <w:tcW w:w="1383" w:type="dxa"/>
            <w:tcBorders>
              <w:top w:val="single" w:color="000000" w:sz="4" w:space="0"/>
              <w:left w:val="nil"/>
              <w:bottom w:val="single" w:color="000000" w:sz="4" w:space="0"/>
              <w:right w:val="single" w:color="000000" w:sz="4" w:space="0"/>
            </w:tcBorders>
            <w:vAlign w:val="center"/>
          </w:tcPr>
          <w:p w14:paraId="20450C84">
            <w:pPr>
              <w:spacing w:line="360" w:lineRule="auto"/>
              <w:jc w:val="center"/>
              <w:rPr>
                <w:rFonts w:ascii="宋体" w:hAnsi="宋体" w:eastAsia="宋体" w:cs="宋体"/>
                <w:color w:val="121212"/>
                <w:sz w:val="24"/>
                <w:szCs w:val="24"/>
              </w:rPr>
            </w:pPr>
          </w:p>
        </w:tc>
        <w:tc>
          <w:tcPr>
            <w:tcW w:w="1466" w:type="dxa"/>
            <w:tcBorders>
              <w:top w:val="single" w:color="000000" w:sz="4" w:space="0"/>
              <w:left w:val="nil"/>
              <w:bottom w:val="single" w:color="000000" w:sz="4" w:space="0"/>
              <w:right w:val="single" w:color="000000" w:sz="4" w:space="0"/>
            </w:tcBorders>
            <w:vAlign w:val="center"/>
          </w:tcPr>
          <w:p w14:paraId="468B03A4">
            <w:pPr>
              <w:spacing w:line="360" w:lineRule="auto"/>
              <w:rPr>
                <w:rFonts w:ascii="宋体" w:hAnsi="宋体" w:eastAsia="宋体" w:cs="宋体"/>
                <w:color w:val="121212"/>
                <w:sz w:val="24"/>
                <w:szCs w:val="24"/>
              </w:rPr>
            </w:pPr>
          </w:p>
        </w:tc>
        <w:tc>
          <w:tcPr>
            <w:tcW w:w="817" w:type="dxa"/>
            <w:tcBorders>
              <w:top w:val="single" w:color="000000" w:sz="4" w:space="0"/>
              <w:left w:val="nil"/>
              <w:bottom w:val="single" w:color="000000" w:sz="4" w:space="0"/>
              <w:right w:val="single" w:color="000000" w:sz="4" w:space="0"/>
            </w:tcBorders>
            <w:vAlign w:val="center"/>
          </w:tcPr>
          <w:p w14:paraId="1679DF16">
            <w:pPr>
              <w:spacing w:line="360" w:lineRule="auto"/>
              <w:rPr>
                <w:rFonts w:ascii="宋体" w:hAnsi="宋体" w:eastAsia="宋体" w:cs="宋体"/>
                <w:color w:val="121212"/>
                <w:sz w:val="24"/>
                <w:szCs w:val="24"/>
              </w:rPr>
            </w:pPr>
          </w:p>
        </w:tc>
        <w:tc>
          <w:tcPr>
            <w:tcW w:w="1233" w:type="dxa"/>
            <w:tcBorders>
              <w:top w:val="single" w:color="000000" w:sz="4" w:space="0"/>
              <w:left w:val="nil"/>
              <w:bottom w:val="single" w:color="000000" w:sz="4" w:space="0"/>
              <w:right w:val="single" w:color="000000" w:sz="4" w:space="0"/>
            </w:tcBorders>
            <w:vAlign w:val="center"/>
          </w:tcPr>
          <w:p w14:paraId="552D9832">
            <w:pPr>
              <w:spacing w:line="360" w:lineRule="auto"/>
              <w:rPr>
                <w:rFonts w:ascii="宋体" w:hAnsi="宋体" w:eastAsia="宋体" w:cs="宋体"/>
                <w:color w:val="121212"/>
                <w:sz w:val="24"/>
                <w:szCs w:val="24"/>
              </w:rPr>
            </w:pPr>
          </w:p>
        </w:tc>
        <w:tc>
          <w:tcPr>
            <w:tcW w:w="950" w:type="dxa"/>
            <w:tcBorders>
              <w:top w:val="single" w:color="000000" w:sz="4" w:space="0"/>
              <w:left w:val="nil"/>
              <w:bottom w:val="single" w:color="000000" w:sz="4" w:space="0"/>
              <w:right w:val="single" w:color="000000" w:sz="4" w:space="0"/>
            </w:tcBorders>
            <w:vAlign w:val="center"/>
          </w:tcPr>
          <w:p w14:paraId="6EDBEC9F">
            <w:pPr>
              <w:spacing w:line="360" w:lineRule="auto"/>
              <w:rPr>
                <w:rFonts w:ascii="宋体" w:hAnsi="宋体" w:eastAsia="宋体" w:cs="宋体"/>
                <w:color w:val="121212"/>
                <w:sz w:val="24"/>
                <w:szCs w:val="24"/>
              </w:rPr>
            </w:pPr>
          </w:p>
        </w:tc>
        <w:tc>
          <w:tcPr>
            <w:tcW w:w="1300" w:type="dxa"/>
            <w:tcBorders>
              <w:top w:val="single" w:color="000000" w:sz="4" w:space="0"/>
              <w:left w:val="nil"/>
              <w:bottom w:val="single" w:color="000000" w:sz="4" w:space="0"/>
              <w:right w:val="single" w:color="000000" w:sz="4" w:space="0"/>
            </w:tcBorders>
            <w:vAlign w:val="center"/>
          </w:tcPr>
          <w:p w14:paraId="10C83AB4">
            <w:pPr>
              <w:spacing w:line="360" w:lineRule="auto"/>
              <w:rPr>
                <w:rFonts w:ascii="宋体" w:hAnsi="宋体" w:eastAsia="宋体" w:cs="宋体"/>
                <w:color w:val="121212"/>
                <w:sz w:val="24"/>
                <w:szCs w:val="24"/>
              </w:rPr>
            </w:pPr>
          </w:p>
        </w:tc>
        <w:tc>
          <w:tcPr>
            <w:tcW w:w="875" w:type="dxa"/>
            <w:tcBorders>
              <w:top w:val="single" w:color="000000" w:sz="4" w:space="0"/>
              <w:left w:val="nil"/>
              <w:bottom w:val="single" w:color="000000" w:sz="4" w:space="0"/>
              <w:right w:val="single" w:color="000000" w:sz="4" w:space="0"/>
            </w:tcBorders>
            <w:vAlign w:val="center"/>
          </w:tcPr>
          <w:p w14:paraId="512E8999">
            <w:pPr>
              <w:spacing w:line="360" w:lineRule="auto"/>
              <w:rPr>
                <w:rFonts w:ascii="宋体" w:hAnsi="宋体" w:eastAsia="宋体" w:cs="宋体"/>
                <w:color w:val="121212"/>
                <w:sz w:val="24"/>
                <w:szCs w:val="24"/>
              </w:rPr>
            </w:pPr>
          </w:p>
        </w:tc>
      </w:tr>
      <w:tr w14:paraId="57C96D2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627" w:hRule="atLeast"/>
        </w:trPr>
        <w:tc>
          <w:tcPr>
            <w:tcW w:w="596" w:type="dxa"/>
            <w:tcBorders>
              <w:top w:val="single" w:color="000000" w:sz="4" w:space="0"/>
              <w:left w:val="single" w:color="000000" w:sz="4" w:space="0"/>
              <w:bottom w:val="single" w:color="000000" w:sz="4" w:space="0"/>
              <w:right w:val="single" w:color="000000" w:sz="4" w:space="0"/>
            </w:tcBorders>
          </w:tcPr>
          <w:p w14:paraId="2463770B">
            <w:pPr>
              <w:spacing w:line="360" w:lineRule="auto"/>
              <w:jc w:val="center"/>
              <w:rPr>
                <w:rFonts w:ascii="宋体" w:hAnsi="宋体" w:eastAsia="宋体" w:cs="宋体"/>
                <w:color w:val="121212"/>
                <w:sz w:val="24"/>
                <w:szCs w:val="24"/>
              </w:rPr>
            </w:pPr>
            <w:r>
              <w:rPr>
                <w:rFonts w:hint="eastAsia" w:ascii="宋体" w:hAnsi="宋体" w:eastAsia="宋体" w:cs="宋体"/>
                <w:color w:val="121212"/>
                <w:sz w:val="24"/>
                <w:szCs w:val="24"/>
              </w:rPr>
              <w:t>....</w:t>
            </w:r>
          </w:p>
        </w:tc>
        <w:tc>
          <w:tcPr>
            <w:tcW w:w="1383" w:type="dxa"/>
            <w:tcBorders>
              <w:top w:val="single" w:color="000000" w:sz="4" w:space="0"/>
              <w:left w:val="nil"/>
              <w:bottom w:val="single" w:color="000000" w:sz="4" w:space="0"/>
              <w:right w:val="single" w:color="000000" w:sz="4" w:space="0"/>
            </w:tcBorders>
            <w:vAlign w:val="center"/>
          </w:tcPr>
          <w:p w14:paraId="4C5E5C00">
            <w:pPr>
              <w:spacing w:line="360" w:lineRule="auto"/>
              <w:jc w:val="center"/>
              <w:rPr>
                <w:rFonts w:ascii="宋体" w:hAnsi="宋体" w:eastAsia="宋体" w:cs="宋体"/>
                <w:color w:val="121212"/>
                <w:sz w:val="24"/>
                <w:szCs w:val="24"/>
              </w:rPr>
            </w:pPr>
          </w:p>
        </w:tc>
        <w:tc>
          <w:tcPr>
            <w:tcW w:w="1466" w:type="dxa"/>
            <w:tcBorders>
              <w:top w:val="single" w:color="000000" w:sz="4" w:space="0"/>
              <w:left w:val="nil"/>
              <w:bottom w:val="single" w:color="000000" w:sz="4" w:space="0"/>
              <w:right w:val="single" w:color="000000" w:sz="4" w:space="0"/>
            </w:tcBorders>
            <w:vAlign w:val="center"/>
          </w:tcPr>
          <w:p w14:paraId="1A808895">
            <w:pPr>
              <w:spacing w:line="360" w:lineRule="auto"/>
              <w:rPr>
                <w:rFonts w:ascii="宋体" w:hAnsi="宋体" w:eastAsia="宋体" w:cs="宋体"/>
                <w:color w:val="121212"/>
                <w:sz w:val="24"/>
                <w:szCs w:val="24"/>
              </w:rPr>
            </w:pPr>
          </w:p>
        </w:tc>
        <w:tc>
          <w:tcPr>
            <w:tcW w:w="817" w:type="dxa"/>
            <w:tcBorders>
              <w:top w:val="single" w:color="000000" w:sz="4" w:space="0"/>
              <w:left w:val="nil"/>
              <w:bottom w:val="single" w:color="000000" w:sz="4" w:space="0"/>
              <w:right w:val="single" w:color="000000" w:sz="4" w:space="0"/>
            </w:tcBorders>
            <w:vAlign w:val="center"/>
          </w:tcPr>
          <w:p w14:paraId="6E0CD684">
            <w:pPr>
              <w:spacing w:line="360" w:lineRule="auto"/>
              <w:rPr>
                <w:rFonts w:ascii="宋体" w:hAnsi="宋体" w:eastAsia="宋体" w:cs="宋体"/>
                <w:color w:val="121212"/>
                <w:sz w:val="24"/>
                <w:szCs w:val="24"/>
              </w:rPr>
            </w:pPr>
          </w:p>
        </w:tc>
        <w:tc>
          <w:tcPr>
            <w:tcW w:w="1233" w:type="dxa"/>
            <w:tcBorders>
              <w:top w:val="single" w:color="000000" w:sz="4" w:space="0"/>
              <w:left w:val="nil"/>
              <w:bottom w:val="single" w:color="000000" w:sz="4" w:space="0"/>
              <w:right w:val="single" w:color="000000" w:sz="4" w:space="0"/>
            </w:tcBorders>
            <w:vAlign w:val="center"/>
          </w:tcPr>
          <w:p w14:paraId="564ABF34">
            <w:pPr>
              <w:spacing w:line="360" w:lineRule="auto"/>
              <w:rPr>
                <w:rFonts w:ascii="宋体" w:hAnsi="宋体" w:eastAsia="宋体" w:cs="宋体"/>
                <w:color w:val="121212"/>
                <w:sz w:val="24"/>
                <w:szCs w:val="24"/>
              </w:rPr>
            </w:pPr>
          </w:p>
        </w:tc>
        <w:tc>
          <w:tcPr>
            <w:tcW w:w="950" w:type="dxa"/>
            <w:tcBorders>
              <w:top w:val="single" w:color="000000" w:sz="4" w:space="0"/>
              <w:left w:val="nil"/>
              <w:bottom w:val="single" w:color="000000" w:sz="4" w:space="0"/>
              <w:right w:val="single" w:color="000000" w:sz="4" w:space="0"/>
            </w:tcBorders>
            <w:vAlign w:val="center"/>
          </w:tcPr>
          <w:p w14:paraId="1FAA6354">
            <w:pPr>
              <w:spacing w:line="360" w:lineRule="auto"/>
              <w:rPr>
                <w:rFonts w:ascii="宋体" w:hAnsi="宋体" w:eastAsia="宋体" w:cs="宋体"/>
                <w:color w:val="121212"/>
                <w:sz w:val="24"/>
                <w:szCs w:val="24"/>
              </w:rPr>
            </w:pPr>
          </w:p>
        </w:tc>
        <w:tc>
          <w:tcPr>
            <w:tcW w:w="1300" w:type="dxa"/>
            <w:tcBorders>
              <w:top w:val="single" w:color="000000" w:sz="4" w:space="0"/>
              <w:left w:val="nil"/>
              <w:bottom w:val="single" w:color="000000" w:sz="4" w:space="0"/>
              <w:right w:val="single" w:color="000000" w:sz="4" w:space="0"/>
            </w:tcBorders>
            <w:vAlign w:val="center"/>
          </w:tcPr>
          <w:p w14:paraId="3E405349">
            <w:pPr>
              <w:spacing w:line="360" w:lineRule="auto"/>
              <w:rPr>
                <w:rFonts w:ascii="宋体" w:hAnsi="宋体" w:eastAsia="宋体" w:cs="宋体"/>
                <w:color w:val="121212"/>
                <w:sz w:val="24"/>
                <w:szCs w:val="24"/>
              </w:rPr>
            </w:pPr>
          </w:p>
        </w:tc>
        <w:tc>
          <w:tcPr>
            <w:tcW w:w="875" w:type="dxa"/>
            <w:tcBorders>
              <w:top w:val="single" w:color="000000" w:sz="4" w:space="0"/>
              <w:left w:val="nil"/>
              <w:bottom w:val="single" w:color="000000" w:sz="4" w:space="0"/>
              <w:right w:val="single" w:color="000000" w:sz="4" w:space="0"/>
            </w:tcBorders>
            <w:vAlign w:val="center"/>
          </w:tcPr>
          <w:p w14:paraId="41FF3E91">
            <w:pPr>
              <w:spacing w:line="360" w:lineRule="auto"/>
              <w:rPr>
                <w:rFonts w:ascii="宋体" w:hAnsi="宋体" w:eastAsia="宋体" w:cs="宋体"/>
                <w:color w:val="121212"/>
                <w:sz w:val="24"/>
                <w:szCs w:val="24"/>
              </w:rPr>
            </w:pPr>
          </w:p>
        </w:tc>
      </w:tr>
    </w:tbl>
    <w:p w14:paraId="1DBAF2B6">
      <w:pPr>
        <w:spacing w:line="360" w:lineRule="auto"/>
        <w:rPr>
          <w:rFonts w:ascii="宋体" w:hAnsi="宋体" w:eastAsia="宋体" w:cs="宋体"/>
          <w:color w:val="121212"/>
          <w:sz w:val="24"/>
          <w:szCs w:val="24"/>
        </w:rPr>
      </w:pPr>
      <w:r>
        <w:rPr>
          <w:rFonts w:hint="eastAsia" w:ascii="宋体" w:hAnsi="宋体" w:eastAsia="宋体" w:cs="宋体"/>
          <w:b/>
          <w:color w:val="121212"/>
          <w:sz w:val="24"/>
          <w:szCs w:val="24"/>
        </w:rPr>
        <w:t>二、合同价款</w:t>
      </w:r>
    </w:p>
    <w:p w14:paraId="5A3FC190">
      <w:pPr>
        <w:spacing w:before="14" w:line="360" w:lineRule="auto"/>
        <w:ind w:firstLine="600"/>
        <w:rPr>
          <w:rFonts w:ascii="宋体" w:hAnsi="宋体" w:eastAsia="宋体" w:cs="宋体"/>
          <w:color w:val="121212"/>
          <w:sz w:val="24"/>
          <w:szCs w:val="24"/>
        </w:rPr>
      </w:pPr>
      <w:r>
        <w:rPr>
          <w:rFonts w:hint="eastAsia" w:ascii="宋体" w:hAnsi="宋体" w:eastAsia="宋体" w:cs="宋体"/>
          <w:color w:val="121212"/>
          <w:sz w:val="24"/>
          <w:szCs w:val="24"/>
        </w:rPr>
        <w:t>1、合同总价：人民币大写：</w:t>
      </w:r>
      <w:r>
        <w:rPr>
          <w:rFonts w:hint="eastAsia" w:ascii="宋体" w:hAnsi="宋体" w:eastAsia="宋体" w:cs="宋体"/>
          <w:color w:val="121212"/>
          <w:sz w:val="24"/>
          <w:szCs w:val="24"/>
          <w:u w:val="single"/>
        </w:rPr>
        <w:t xml:space="preserve">            </w:t>
      </w:r>
      <w:r>
        <w:rPr>
          <w:rFonts w:hint="eastAsia" w:ascii="宋体" w:hAnsi="宋体" w:eastAsia="宋体" w:cs="宋体"/>
          <w:color w:val="121212"/>
          <w:sz w:val="24"/>
          <w:szCs w:val="24"/>
        </w:rPr>
        <w:t>（¥</w:t>
      </w:r>
      <w:r>
        <w:rPr>
          <w:rFonts w:hint="eastAsia" w:ascii="宋体" w:hAnsi="宋体" w:eastAsia="宋体" w:cs="宋体"/>
          <w:color w:val="121212"/>
          <w:sz w:val="24"/>
          <w:szCs w:val="24"/>
          <w:u w:val="single"/>
        </w:rPr>
        <w:t xml:space="preserve">          </w:t>
      </w:r>
      <w:r>
        <w:rPr>
          <w:rFonts w:hint="eastAsia" w:ascii="宋体" w:hAnsi="宋体" w:eastAsia="宋体" w:cs="宋体"/>
          <w:color w:val="121212"/>
          <w:sz w:val="24"/>
          <w:szCs w:val="24"/>
        </w:rPr>
        <w:t>）。</w:t>
      </w:r>
    </w:p>
    <w:p w14:paraId="534F74DB">
      <w:pPr>
        <w:spacing w:before="14" w:line="360" w:lineRule="auto"/>
        <w:ind w:firstLine="600"/>
        <w:rPr>
          <w:rFonts w:ascii="宋体" w:hAnsi="宋体" w:eastAsia="宋体" w:cs="宋体"/>
          <w:color w:val="121212"/>
          <w:sz w:val="24"/>
          <w:szCs w:val="24"/>
        </w:rPr>
      </w:pPr>
      <w:r>
        <w:rPr>
          <w:rFonts w:hint="eastAsia" w:ascii="宋体" w:hAnsi="宋体" w:eastAsia="宋体" w:cs="宋体"/>
          <w:color w:val="121212"/>
          <w:sz w:val="24"/>
          <w:szCs w:val="24"/>
        </w:rPr>
        <w:t>2、合同价包括：包含但不限于设计费、材料费、打样费、生产制作费、包装费、运输费、装卸费、保险费、税费以及售后服务等一切相关费用。</w:t>
      </w:r>
    </w:p>
    <w:p w14:paraId="3D82251A">
      <w:pPr>
        <w:spacing w:before="14" w:line="360" w:lineRule="auto"/>
        <w:ind w:firstLine="600"/>
        <w:rPr>
          <w:rFonts w:hint="default" w:ascii="宋体" w:hAnsi="宋体" w:eastAsia="宋体" w:cs="宋体"/>
          <w:sz w:val="24"/>
          <w:szCs w:val="24"/>
          <w:lang w:val="en-US" w:eastAsia="zh-CN"/>
        </w:rPr>
      </w:pPr>
      <w:r>
        <w:rPr>
          <w:rFonts w:hint="eastAsia" w:ascii="宋体" w:hAnsi="宋体" w:eastAsia="宋体" w:cs="宋体"/>
          <w:color w:val="121212"/>
          <w:sz w:val="24"/>
          <w:szCs w:val="24"/>
        </w:rPr>
        <w:t>3、合同单价一次包死，不受市场价变化的影响</w:t>
      </w:r>
      <w:r>
        <w:rPr>
          <w:rFonts w:hint="eastAsia" w:ascii="宋体" w:hAnsi="宋体" w:eastAsia="宋体" w:cs="宋体"/>
          <w:color w:val="121212"/>
          <w:sz w:val="24"/>
          <w:szCs w:val="24"/>
          <w:lang w:eastAsia="zh-CN"/>
        </w:rPr>
        <w:t>，</w:t>
      </w:r>
      <w:r>
        <w:rPr>
          <w:rFonts w:hint="eastAsia" w:ascii="宋体" w:hAnsi="宋体" w:eastAsia="宋体" w:cs="宋体"/>
          <w:sz w:val="24"/>
          <w:szCs w:val="24"/>
          <w:lang w:val="en-US" w:eastAsia="zh-CN"/>
        </w:rPr>
        <w:t>以</w:t>
      </w:r>
      <w:r>
        <w:rPr>
          <w:rFonts w:hint="eastAsia" w:ascii="宋体" w:hAnsi="宋体" w:eastAsia="宋体" w:cs="宋体"/>
          <w:sz w:val="24"/>
          <w:szCs w:val="24"/>
        </w:rPr>
        <w:t>甲方实际使用数量为准</w:t>
      </w:r>
      <w:r>
        <w:rPr>
          <w:rFonts w:hint="eastAsia" w:ascii="宋体" w:hAnsi="宋体" w:eastAsia="宋体" w:cs="宋体"/>
          <w:sz w:val="24"/>
          <w:szCs w:val="24"/>
          <w:lang w:eastAsia="zh-CN"/>
        </w:rPr>
        <w:t>，</w:t>
      </w:r>
      <w:r>
        <w:rPr>
          <w:rFonts w:hint="eastAsia" w:ascii="宋体" w:hAnsi="宋体" w:eastAsia="宋体" w:cs="宋体"/>
          <w:sz w:val="24"/>
          <w:szCs w:val="24"/>
        </w:rPr>
        <w:t>最终付款价</w:t>
      </w:r>
      <w:r>
        <w:rPr>
          <w:rFonts w:hint="eastAsia" w:ascii="宋体" w:hAnsi="宋体" w:eastAsia="宋体" w:cs="宋体"/>
          <w:sz w:val="24"/>
          <w:szCs w:val="24"/>
          <w:lang w:val="en-US" w:eastAsia="zh-CN"/>
        </w:rPr>
        <w:t>不得超合同总价格</w:t>
      </w:r>
      <w:r>
        <w:rPr>
          <w:rFonts w:hint="eastAsia" w:ascii="宋体" w:hAnsi="宋体" w:eastAsia="宋体" w:cs="宋体"/>
          <w:sz w:val="24"/>
          <w:szCs w:val="24"/>
        </w:rPr>
        <w:t>。</w:t>
      </w:r>
    </w:p>
    <w:p w14:paraId="3BE7A7E4">
      <w:pPr>
        <w:spacing w:line="360" w:lineRule="auto"/>
        <w:rPr>
          <w:rFonts w:ascii="宋体" w:hAnsi="宋体" w:eastAsia="宋体" w:cs="宋体"/>
          <w:color w:val="121212"/>
          <w:sz w:val="24"/>
          <w:szCs w:val="24"/>
        </w:rPr>
      </w:pPr>
      <w:r>
        <w:rPr>
          <w:rFonts w:hint="eastAsia" w:ascii="宋体" w:hAnsi="宋体" w:eastAsia="宋体" w:cs="宋体"/>
          <w:b/>
          <w:color w:val="121212"/>
          <w:sz w:val="24"/>
          <w:szCs w:val="24"/>
        </w:rPr>
        <w:t>三、支付结算</w:t>
      </w:r>
    </w:p>
    <w:p w14:paraId="2E6AD680">
      <w:pPr>
        <w:spacing w:before="25" w:line="360" w:lineRule="auto"/>
        <w:ind w:left="120" w:right="140" w:firstLine="480"/>
        <w:rPr>
          <w:rFonts w:ascii="宋体" w:hAnsi="宋体" w:eastAsia="宋体" w:cs="宋体"/>
          <w:color w:val="121212"/>
          <w:sz w:val="24"/>
          <w:szCs w:val="24"/>
        </w:rPr>
      </w:pPr>
      <w:r>
        <w:rPr>
          <w:rFonts w:hint="eastAsia" w:ascii="宋体" w:hAnsi="宋体" w:eastAsia="宋体" w:cs="宋体"/>
          <w:color w:val="121212"/>
          <w:sz w:val="24"/>
          <w:szCs w:val="24"/>
        </w:rPr>
        <w:t>1、付款方式：银行转账：采购方通过银行转账方式，将款项支付至供应商合同指定的银行账户。</w:t>
      </w:r>
    </w:p>
    <w:p w14:paraId="5A441A42">
      <w:pPr>
        <w:spacing w:before="25" w:line="360" w:lineRule="auto"/>
        <w:ind w:left="120" w:right="140" w:firstLine="480"/>
        <w:rPr>
          <w:rFonts w:hint="eastAsia" w:ascii="宋体" w:hAnsi="宋体" w:eastAsia="宋体" w:cs="宋体"/>
          <w:color w:val="121212"/>
          <w:sz w:val="24"/>
          <w:szCs w:val="24"/>
        </w:rPr>
      </w:pPr>
      <w:r>
        <w:rPr>
          <w:rFonts w:hint="eastAsia" w:ascii="宋体" w:hAnsi="宋体" w:eastAsia="宋体" w:cs="宋体"/>
          <w:color w:val="121212"/>
          <w:sz w:val="24"/>
          <w:szCs w:val="24"/>
        </w:rPr>
        <w:t>2、验收合格后 30 日内依据验收单、入库单、发票及检测报告，以配送血站每批次实际用量据实结算，每批次结算一次，支付每批次的 100%款项。</w:t>
      </w:r>
    </w:p>
    <w:p w14:paraId="441D5158">
      <w:pPr>
        <w:spacing w:before="25" w:line="360" w:lineRule="auto"/>
        <w:ind w:left="120" w:right="140" w:firstLine="480"/>
        <w:rPr>
          <w:rFonts w:hint="eastAsia" w:ascii="宋体" w:hAnsi="宋体" w:eastAsia="宋体" w:cs="宋体"/>
          <w:color w:val="121212"/>
          <w:sz w:val="24"/>
          <w:szCs w:val="24"/>
          <w:lang w:val="en-US" w:eastAsia="zh-CN"/>
        </w:rPr>
      </w:pPr>
      <w:r>
        <w:rPr>
          <w:rFonts w:hint="eastAsia" w:ascii="宋体" w:hAnsi="宋体" w:eastAsia="宋体" w:cs="宋体"/>
          <w:color w:val="121212"/>
          <w:sz w:val="24"/>
          <w:szCs w:val="24"/>
          <w:lang w:val="en-US" w:eastAsia="zh-CN"/>
        </w:rPr>
        <w:t>3、供应商应在采购人支付各笔款项前，提供符合采购人财务要求的等额合法有效票据，否则采购人有权顺延付款且不承担违约责任。供应商账户信息如有变更，需提前3个工作日书面通知甲方。</w:t>
      </w:r>
    </w:p>
    <w:p w14:paraId="2867E987">
      <w:pPr>
        <w:spacing w:before="25" w:line="360" w:lineRule="auto"/>
        <w:ind w:left="120" w:right="140" w:firstLine="480"/>
        <w:rPr>
          <w:rFonts w:hint="eastAsia" w:ascii="宋体" w:hAnsi="宋体" w:eastAsia="宋体" w:cs="宋体"/>
          <w:color w:val="121212"/>
          <w:sz w:val="24"/>
          <w:szCs w:val="24"/>
        </w:rPr>
      </w:pPr>
      <w:r>
        <w:rPr>
          <w:rFonts w:hint="eastAsia" w:ascii="宋体" w:hAnsi="宋体" w:eastAsia="宋体" w:cs="宋体"/>
          <w:color w:val="121212"/>
          <w:sz w:val="24"/>
          <w:szCs w:val="24"/>
          <w:lang w:val="en-US" w:eastAsia="zh-CN"/>
        </w:rPr>
        <w:t>4、若每批次验收不合格，乙方应在甲方要求的期限内无偿整改至合格；逾期未整改或整改后仍不合格的，甲方有权暂缓支付相应款项，直至合格为止，由此造成的一切损失由乙方承担。</w:t>
      </w:r>
    </w:p>
    <w:p w14:paraId="3D3AB6AC">
      <w:pPr>
        <w:spacing w:before="25" w:line="360" w:lineRule="auto"/>
        <w:ind w:left="120" w:right="140" w:firstLine="480"/>
        <w:rPr>
          <w:rFonts w:ascii="宋体" w:hAnsi="宋体" w:eastAsia="宋体" w:cs="宋体"/>
          <w:sz w:val="24"/>
          <w:szCs w:val="24"/>
        </w:rPr>
      </w:pPr>
      <w:r>
        <w:rPr>
          <w:rFonts w:hint="eastAsia" w:ascii="宋体" w:hAnsi="宋体" w:eastAsia="宋体" w:cs="宋体"/>
          <w:sz w:val="24"/>
          <w:szCs w:val="24"/>
        </w:rPr>
        <w:t>3、甲方开票信息：</w:t>
      </w:r>
    </w:p>
    <w:p w14:paraId="48E5FF99">
      <w:pPr>
        <w:spacing w:before="25" w:line="360" w:lineRule="auto"/>
        <w:ind w:left="120" w:right="140" w:firstLine="480"/>
        <w:rPr>
          <w:rFonts w:ascii="宋体" w:hAnsi="宋体" w:eastAsia="宋体" w:cs="宋体"/>
          <w:sz w:val="24"/>
          <w:szCs w:val="24"/>
        </w:rPr>
      </w:pPr>
      <w:r>
        <w:rPr>
          <w:rFonts w:hint="eastAsia" w:ascii="宋体" w:hAnsi="宋体" w:eastAsia="宋体" w:cs="宋体"/>
          <w:sz w:val="24"/>
          <w:szCs w:val="24"/>
        </w:rPr>
        <w:t>名称:西安市中心血站</w:t>
      </w:r>
    </w:p>
    <w:p w14:paraId="2F613FE6">
      <w:pPr>
        <w:spacing w:before="25" w:line="360" w:lineRule="auto"/>
        <w:ind w:left="120" w:right="140" w:firstLine="480"/>
        <w:rPr>
          <w:rFonts w:ascii="宋体" w:hAnsi="宋体" w:eastAsia="宋体" w:cs="宋体"/>
          <w:sz w:val="24"/>
          <w:szCs w:val="24"/>
        </w:rPr>
      </w:pPr>
      <w:r>
        <w:rPr>
          <w:rFonts w:hint="eastAsia" w:ascii="宋体" w:hAnsi="宋体" w:eastAsia="宋体" w:cs="宋体"/>
          <w:sz w:val="24"/>
          <w:szCs w:val="24"/>
        </w:rPr>
        <w:t>开户行及账号:招商银行西影路支行   129904468910201</w:t>
      </w:r>
    </w:p>
    <w:p w14:paraId="14C61024">
      <w:pPr>
        <w:spacing w:before="25" w:line="360" w:lineRule="auto"/>
        <w:ind w:left="120" w:right="140" w:firstLine="480"/>
        <w:rPr>
          <w:rFonts w:ascii="宋体" w:hAnsi="宋体" w:eastAsia="宋体" w:cs="宋体"/>
          <w:sz w:val="24"/>
          <w:szCs w:val="24"/>
        </w:rPr>
      </w:pPr>
      <w:r>
        <w:rPr>
          <w:rFonts w:hint="eastAsia" w:ascii="宋体" w:hAnsi="宋体" w:eastAsia="宋体" w:cs="宋体"/>
          <w:sz w:val="24"/>
          <w:szCs w:val="24"/>
        </w:rPr>
        <w:t>地址、电话:西安市朱雀大街407号    029-85239207</w:t>
      </w:r>
    </w:p>
    <w:p w14:paraId="472C2128">
      <w:pPr>
        <w:spacing w:before="25" w:line="360" w:lineRule="auto"/>
        <w:ind w:left="120" w:right="140" w:firstLine="480"/>
        <w:rPr>
          <w:rFonts w:ascii="宋体" w:hAnsi="宋体" w:eastAsia="宋体" w:cs="宋体"/>
          <w:sz w:val="24"/>
          <w:szCs w:val="24"/>
        </w:rPr>
      </w:pPr>
      <w:r>
        <w:rPr>
          <w:rFonts w:hint="eastAsia" w:ascii="宋体" w:hAnsi="宋体" w:eastAsia="宋体" w:cs="宋体"/>
          <w:sz w:val="24"/>
          <w:szCs w:val="24"/>
        </w:rPr>
        <w:t>统一社会信用代码:126101004372030973</w:t>
      </w:r>
    </w:p>
    <w:p w14:paraId="4F948B28">
      <w:pPr>
        <w:spacing w:before="26" w:line="360" w:lineRule="auto"/>
        <w:ind w:right="160" w:firstLine="480" w:firstLineChars="200"/>
        <w:rPr>
          <w:rFonts w:ascii="宋体" w:hAnsi="宋体" w:eastAsia="宋体" w:cs="宋体"/>
          <w:color w:val="121212"/>
          <w:sz w:val="24"/>
          <w:szCs w:val="24"/>
        </w:rPr>
      </w:pPr>
      <w:r>
        <w:rPr>
          <w:rFonts w:hint="eastAsia" w:ascii="宋体" w:hAnsi="宋体" w:eastAsia="宋体" w:cs="宋体"/>
          <w:color w:val="121212"/>
          <w:sz w:val="24"/>
          <w:szCs w:val="24"/>
        </w:rPr>
        <w:t>4、乙方收款账户信息：</w:t>
      </w:r>
    </w:p>
    <w:p w14:paraId="43F55A33">
      <w:pPr>
        <w:spacing w:before="25" w:line="360" w:lineRule="auto"/>
        <w:ind w:left="120" w:right="140" w:firstLine="480"/>
        <w:rPr>
          <w:rFonts w:ascii="宋体" w:hAnsi="宋体" w:eastAsia="宋体" w:cs="宋体"/>
          <w:sz w:val="24"/>
          <w:szCs w:val="24"/>
        </w:rPr>
      </w:pPr>
      <w:r>
        <w:rPr>
          <w:rFonts w:hint="eastAsia" w:ascii="宋体" w:hAnsi="宋体" w:eastAsia="宋体" w:cs="宋体"/>
          <w:sz w:val="24"/>
          <w:szCs w:val="24"/>
        </w:rPr>
        <w:t>名称:</w:t>
      </w:r>
    </w:p>
    <w:p w14:paraId="64934DF6">
      <w:pPr>
        <w:spacing w:before="25" w:line="360" w:lineRule="auto"/>
        <w:ind w:left="120" w:right="140" w:firstLine="480"/>
        <w:rPr>
          <w:rFonts w:ascii="宋体" w:hAnsi="宋体" w:eastAsia="宋体" w:cs="宋体"/>
          <w:sz w:val="24"/>
          <w:szCs w:val="24"/>
        </w:rPr>
      </w:pPr>
      <w:r>
        <w:rPr>
          <w:rFonts w:hint="eastAsia" w:ascii="宋体" w:hAnsi="宋体" w:eastAsia="宋体" w:cs="宋体"/>
          <w:sz w:val="24"/>
          <w:szCs w:val="24"/>
        </w:rPr>
        <w:t>开户行及账号:</w:t>
      </w:r>
    </w:p>
    <w:p w14:paraId="20DF44D2">
      <w:pPr>
        <w:spacing w:before="25" w:line="360" w:lineRule="auto"/>
        <w:ind w:left="120" w:right="140" w:firstLine="480"/>
        <w:rPr>
          <w:rFonts w:ascii="宋体" w:hAnsi="宋体" w:eastAsia="宋体" w:cs="宋体"/>
          <w:sz w:val="24"/>
          <w:szCs w:val="24"/>
        </w:rPr>
      </w:pPr>
      <w:r>
        <w:rPr>
          <w:rFonts w:hint="eastAsia" w:ascii="宋体" w:hAnsi="宋体" w:eastAsia="宋体" w:cs="宋体"/>
          <w:sz w:val="24"/>
          <w:szCs w:val="24"/>
        </w:rPr>
        <w:t>地址、电话:</w:t>
      </w:r>
    </w:p>
    <w:p w14:paraId="5A15162B">
      <w:pPr>
        <w:spacing w:before="25" w:line="360" w:lineRule="auto"/>
        <w:ind w:left="120" w:right="140" w:firstLine="480"/>
        <w:rPr>
          <w:rFonts w:ascii="宋体" w:hAnsi="宋体" w:eastAsia="宋体" w:cs="宋体"/>
          <w:sz w:val="24"/>
          <w:szCs w:val="24"/>
        </w:rPr>
      </w:pPr>
      <w:r>
        <w:rPr>
          <w:rFonts w:hint="eastAsia" w:ascii="宋体" w:hAnsi="宋体" w:eastAsia="宋体" w:cs="宋体"/>
          <w:sz w:val="24"/>
          <w:szCs w:val="24"/>
        </w:rPr>
        <w:t>统一社会信用代码:</w:t>
      </w:r>
    </w:p>
    <w:p w14:paraId="69780617">
      <w:pPr>
        <w:spacing w:line="360" w:lineRule="auto"/>
        <w:rPr>
          <w:rFonts w:ascii="宋体" w:hAnsi="宋体" w:eastAsia="宋体" w:cs="宋体"/>
          <w:color w:val="121212"/>
          <w:sz w:val="24"/>
          <w:szCs w:val="24"/>
        </w:rPr>
      </w:pPr>
      <w:r>
        <w:rPr>
          <w:rFonts w:hint="eastAsia" w:ascii="宋体" w:hAnsi="宋体" w:eastAsia="宋体" w:cs="宋体"/>
          <w:b/>
          <w:color w:val="121212"/>
          <w:sz w:val="24"/>
          <w:szCs w:val="24"/>
        </w:rPr>
        <w:t>四、交付约定</w:t>
      </w:r>
    </w:p>
    <w:p w14:paraId="6F1B9765">
      <w:pPr>
        <w:spacing w:before="87" w:line="360" w:lineRule="auto"/>
        <w:ind w:firstLine="580"/>
        <w:rPr>
          <w:rFonts w:hint="eastAsia" w:ascii="宋体" w:hAnsi="宋体" w:eastAsia="宋体" w:cs="宋体"/>
          <w:color w:val="121212"/>
          <w:sz w:val="24"/>
          <w:szCs w:val="24"/>
          <w:highlight w:val="none"/>
        </w:rPr>
      </w:pPr>
      <w:r>
        <w:rPr>
          <w:rFonts w:hint="eastAsia" w:ascii="宋体" w:hAnsi="宋体" w:eastAsia="宋体" w:cs="宋体"/>
          <w:color w:val="121212"/>
          <w:sz w:val="24"/>
          <w:szCs w:val="24"/>
          <w:highlight w:val="none"/>
        </w:rPr>
        <w:t>1、交货期：每个产品30日内按采购人要求一次性供货（含设计、样品、制作</w:t>
      </w:r>
      <w:r>
        <w:rPr>
          <w:rFonts w:hint="eastAsia" w:ascii="宋体" w:hAnsi="宋体" w:eastAsia="宋体" w:cs="宋体"/>
          <w:color w:val="121212"/>
          <w:sz w:val="24"/>
          <w:szCs w:val="24"/>
          <w:highlight w:val="none"/>
          <w:lang w:eastAsia="zh-CN"/>
        </w:rPr>
        <w:t>、</w:t>
      </w:r>
      <w:r>
        <w:rPr>
          <w:rFonts w:hint="eastAsia" w:ascii="宋体" w:hAnsi="宋体" w:eastAsia="宋体" w:cs="宋体"/>
          <w:color w:val="121212"/>
          <w:sz w:val="24"/>
          <w:szCs w:val="24"/>
          <w:highlight w:val="none"/>
          <w:lang w:val="en-US" w:eastAsia="zh-CN"/>
        </w:rPr>
        <w:t>工厂模具</w:t>
      </w:r>
      <w:r>
        <w:rPr>
          <w:rFonts w:hint="eastAsia" w:ascii="宋体" w:hAnsi="宋体" w:eastAsia="宋体" w:cs="宋体"/>
          <w:color w:val="121212"/>
          <w:sz w:val="24"/>
          <w:szCs w:val="24"/>
          <w:highlight w:val="none"/>
        </w:rPr>
        <w:t>以及最终成品交付等）。</w:t>
      </w:r>
    </w:p>
    <w:p w14:paraId="2393AB71">
      <w:pPr>
        <w:spacing w:before="87" w:line="360" w:lineRule="auto"/>
        <w:ind w:firstLine="580"/>
        <w:rPr>
          <w:rFonts w:hint="eastAsia" w:ascii="宋体" w:hAnsi="宋体" w:eastAsia="宋体" w:cs="宋体"/>
          <w:color w:val="121212"/>
          <w:sz w:val="24"/>
          <w:szCs w:val="24"/>
          <w:highlight w:val="none"/>
        </w:rPr>
      </w:pPr>
      <w:r>
        <w:rPr>
          <w:rFonts w:hint="eastAsia" w:ascii="宋体" w:hAnsi="宋体" w:eastAsia="宋体" w:cs="宋体"/>
          <w:color w:val="121212"/>
          <w:sz w:val="24"/>
          <w:szCs w:val="24"/>
          <w:highlight w:val="none"/>
        </w:rPr>
        <w:t>2、交</w:t>
      </w:r>
      <w:r>
        <w:rPr>
          <w:rFonts w:hint="eastAsia" w:ascii="宋体" w:hAnsi="宋体" w:eastAsia="宋体" w:cs="宋体"/>
          <w:color w:val="121212"/>
          <w:sz w:val="24"/>
          <w:szCs w:val="24"/>
          <w:highlight w:val="none"/>
          <w:lang w:val="en-US" w:eastAsia="zh-CN"/>
        </w:rPr>
        <w:t>货</w:t>
      </w:r>
      <w:r>
        <w:rPr>
          <w:rFonts w:hint="eastAsia" w:ascii="宋体" w:hAnsi="宋体" w:eastAsia="宋体" w:cs="宋体"/>
          <w:color w:val="121212"/>
          <w:sz w:val="24"/>
          <w:szCs w:val="24"/>
          <w:highlight w:val="none"/>
        </w:rPr>
        <w:t>地点：西安市中心血站指定地点，货品摆放整齐。</w:t>
      </w:r>
    </w:p>
    <w:p w14:paraId="6C06FFC1">
      <w:pPr>
        <w:spacing w:before="87" w:line="360" w:lineRule="auto"/>
        <w:ind w:firstLine="580"/>
        <w:rPr>
          <w:rFonts w:ascii="宋体" w:hAnsi="宋体" w:eastAsia="宋体" w:cs="宋体"/>
          <w:color w:val="121212"/>
          <w:sz w:val="24"/>
          <w:szCs w:val="24"/>
          <w:highlight w:val="none"/>
        </w:rPr>
      </w:pPr>
      <w:r>
        <w:rPr>
          <w:rFonts w:hint="eastAsia" w:ascii="宋体" w:hAnsi="宋体" w:eastAsia="宋体" w:cs="宋体"/>
          <w:b/>
          <w:color w:val="121212"/>
          <w:sz w:val="24"/>
          <w:szCs w:val="24"/>
          <w:highlight w:val="none"/>
        </w:rPr>
        <w:t>五、货物验收</w:t>
      </w:r>
    </w:p>
    <w:p w14:paraId="64D4EF17">
      <w:pPr>
        <w:spacing w:before="87" w:line="360" w:lineRule="auto"/>
        <w:ind w:firstLine="58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1、每批次一次性验收。以最终样品为标准进行验收。</w:t>
      </w:r>
    </w:p>
    <w:p w14:paraId="10294E42">
      <w:pPr>
        <w:spacing w:before="87" w:line="360" w:lineRule="auto"/>
        <w:ind w:firstLine="5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验收依据：采购文件、响应文件、澄清函；国家及行业现行的标准和技术规范；检测报告；甲方封存的最终确认样品。</w:t>
      </w:r>
    </w:p>
    <w:p w14:paraId="30A99958">
      <w:pPr>
        <w:spacing w:before="87" w:line="360" w:lineRule="auto"/>
        <w:ind w:firstLine="5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供应商向采购人提供产品验收清单（注明品名、数量、规格型号和原产地或生产厂家）以及产品使用过程中的所有资料，便于验收。</w:t>
      </w:r>
    </w:p>
    <w:p w14:paraId="0C6C796E">
      <w:pPr>
        <w:spacing w:line="360" w:lineRule="auto"/>
        <w:rPr>
          <w:rFonts w:ascii="宋体" w:hAnsi="宋体" w:eastAsia="宋体" w:cs="宋体"/>
          <w:b/>
          <w:color w:val="121212"/>
          <w:sz w:val="24"/>
          <w:szCs w:val="24"/>
          <w:highlight w:val="none"/>
        </w:rPr>
      </w:pPr>
      <w:r>
        <w:rPr>
          <w:rFonts w:hint="eastAsia" w:ascii="宋体" w:hAnsi="宋体" w:eastAsia="宋体" w:cs="宋体"/>
          <w:b/>
          <w:color w:val="121212"/>
          <w:sz w:val="24"/>
          <w:szCs w:val="24"/>
          <w:highlight w:val="none"/>
        </w:rPr>
        <w:t>六、知识产权</w:t>
      </w:r>
    </w:p>
    <w:p w14:paraId="3344595E">
      <w:pPr>
        <w:spacing w:before="19" w:line="360" w:lineRule="auto"/>
        <w:ind w:left="20" w:right="60" w:firstLine="500"/>
        <w:rPr>
          <w:rFonts w:ascii="宋体" w:hAnsi="宋体" w:eastAsia="宋体" w:cs="宋体"/>
          <w:color w:val="121212"/>
          <w:sz w:val="24"/>
          <w:szCs w:val="24"/>
          <w:highlight w:val="none"/>
        </w:rPr>
      </w:pPr>
      <w:r>
        <w:rPr>
          <w:rFonts w:hint="eastAsia" w:ascii="宋体" w:hAnsi="宋体" w:eastAsia="宋体" w:cs="宋体"/>
          <w:color w:val="121212"/>
          <w:sz w:val="24"/>
          <w:szCs w:val="24"/>
          <w:highlight w:val="none"/>
        </w:rPr>
        <w:t>1、乙方保证其为履行本合同所提供的设计方案、图纸、成品及其所运用的元素等均为原创，不会侵犯第三方的知识产权（包括但不限于著作权、专利权、商标权）。若涉及知识产权纠纷，由乙方承担全部法律责任及经济损失。</w:t>
      </w:r>
    </w:p>
    <w:p w14:paraId="71DD93DF">
      <w:pPr>
        <w:spacing w:before="19" w:line="360" w:lineRule="auto"/>
        <w:ind w:left="20" w:right="60" w:firstLine="500"/>
        <w:rPr>
          <w:rFonts w:ascii="宋体" w:hAnsi="宋体" w:eastAsia="宋体" w:cs="宋体"/>
          <w:color w:val="121212"/>
          <w:sz w:val="24"/>
          <w:szCs w:val="24"/>
          <w:highlight w:val="none"/>
        </w:rPr>
      </w:pPr>
      <w:r>
        <w:rPr>
          <w:rFonts w:hint="eastAsia" w:ascii="宋体" w:hAnsi="宋体" w:eastAsia="宋体" w:cs="宋体"/>
          <w:color w:val="121212"/>
          <w:sz w:val="24"/>
          <w:szCs w:val="24"/>
          <w:highlight w:val="none"/>
        </w:rPr>
        <w:t>2、权利归属：本项目产生的所有设计成果（包括但不限于设计草图、效果图、电子源文件</w:t>
      </w:r>
      <w:r>
        <w:rPr>
          <w:rFonts w:hint="eastAsia" w:ascii="宋体" w:hAnsi="宋体" w:eastAsia="宋体" w:cs="宋体"/>
          <w:color w:val="121212"/>
          <w:sz w:val="24"/>
          <w:szCs w:val="24"/>
          <w:highlight w:val="none"/>
          <w:lang w:eastAsia="zh-CN"/>
        </w:rPr>
        <w:t>、</w:t>
      </w:r>
      <w:r>
        <w:rPr>
          <w:rFonts w:hint="eastAsia" w:ascii="宋体" w:hAnsi="宋体" w:eastAsia="宋体" w:cs="宋体"/>
          <w:color w:val="121212"/>
          <w:sz w:val="24"/>
          <w:szCs w:val="24"/>
          <w:highlight w:val="none"/>
          <w:lang w:val="en-US" w:eastAsia="zh-CN"/>
        </w:rPr>
        <w:t>模具</w:t>
      </w:r>
      <w:r>
        <w:rPr>
          <w:rFonts w:hint="eastAsia" w:ascii="宋体" w:hAnsi="宋体" w:eastAsia="宋体" w:cs="宋体"/>
          <w:color w:val="121212"/>
          <w:sz w:val="24"/>
          <w:szCs w:val="24"/>
          <w:highlight w:val="none"/>
        </w:rPr>
        <w:t>等）及成品的知识产权（包括著作权、相关专利申请权）全部归甲方西安市中心血站所有。未经甲方书面许可，乙方不得擅自使用、复制、转让或授权第三方使用上述成果用于本合同目的以外的任何用途。</w:t>
      </w:r>
    </w:p>
    <w:p w14:paraId="3497C06E">
      <w:pPr>
        <w:spacing w:line="360" w:lineRule="auto"/>
        <w:rPr>
          <w:rFonts w:ascii="宋体" w:hAnsi="宋体" w:eastAsia="宋体" w:cs="宋体"/>
          <w:color w:val="121212"/>
          <w:sz w:val="24"/>
          <w:szCs w:val="24"/>
        </w:rPr>
      </w:pPr>
      <w:r>
        <w:rPr>
          <w:rFonts w:hint="eastAsia" w:ascii="宋体" w:hAnsi="宋体" w:eastAsia="宋体" w:cs="宋体"/>
          <w:b/>
          <w:color w:val="121212"/>
          <w:sz w:val="24"/>
          <w:szCs w:val="24"/>
        </w:rPr>
        <w:t>七、质量保证</w:t>
      </w:r>
    </w:p>
    <w:p w14:paraId="118A962F">
      <w:pPr>
        <w:spacing w:before="19" w:line="360" w:lineRule="auto"/>
        <w:ind w:left="20" w:right="60" w:firstLine="500"/>
        <w:rPr>
          <w:rFonts w:ascii="宋体" w:hAnsi="宋体" w:eastAsia="宋体" w:cs="宋体"/>
          <w:color w:val="121212"/>
          <w:sz w:val="24"/>
          <w:szCs w:val="24"/>
        </w:rPr>
      </w:pPr>
      <w:r>
        <w:rPr>
          <w:rFonts w:hint="eastAsia" w:ascii="宋体" w:hAnsi="宋体" w:eastAsia="宋体" w:cs="宋体"/>
          <w:color w:val="121212"/>
          <w:sz w:val="24"/>
          <w:szCs w:val="24"/>
        </w:rPr>
        <w:t>1、出厂检验：所有产品需100%通过出厂检验（含外观、功能、包装完整性检查），不合格产品需隔离返工，严禁混入合格批次。</w:t>
      </w:r>
    </w:p>
    <w:p w14:paraId="52D0F2B5">
      <w:pPr>
        <w:spacing w:before="19" w:line="360" w:lineRule="auto"/>
        <w:ind w:left="20" w:right="60" w:firstLine="500"/>
        <w:rPr>
          <w:rFonts w:hint="eastAsia" w:ascii="宋体" w:hAnsi="宋体" w:eastAsia="宋体" w:cs="宋体"/>
          <w:color w:val="121212"/>
          <w:sz w:val="24"/>
          <w:szCs w:val="24"/>
        </w:rPr>
      </w:pPr>
      <w:r>
        <w:rPr>
          <w:rFonts w:hint="eastAsia" w:ascii="宋体" w:hAnsi="宋体" w:eastAsia="宋体" w:cs="宋体"/>
          <w:color w:val="121212"/>
          <w:sz w:val="24"/>
          <w:szCs w:val="24"/>
        </w:rPr>
        <w:t>2、交付数量：实际交付数量不得低于订单数量的100%，超出部分不另计费，用于弥补运输损耗或质量瑕疵替换。</w:t>
      </w:r>
    </w:p>
    <w:p w14:paraId="6818B034">
      <w:pPr>
        <w:spacing w:before="19" w:line="360" w:lineRule="auto"/>
        <w:ind w:left="20" w:right="60" w:firstLine="500"/>
        <w:rPr>
          <w:rFonts w:hint="default" w:ascii="宋体" w:hAnsi="宋体" w:eastAsia="宋体" w:cs="宋体"/>
          <w:color w:val="121212"/>
          <w:sz w:val="24"/>
          <w:szCs w:val="24"/>
          <w:lang w:val="en-US" w:eastAsia="zh-CN"/>
        </w:rPr>
      </w:pPr>
      <w:r>
        <w:rPr>
          <w:rFonts w:hint="eastAsia" w:ascii="宋体" w:hAnsi="宋体" w:eastAsia="宋体" w:cs="宋体"/>
          <w:color w:val="121212"/>
          <w:sz w:val="24"/>
          <w:szCs w:val="24"/>
          <w:lang w:val="en-US" w:eastAsia="zh-CN"/>
        </w:rPr>
        <w:t>3、质保期：每批次验收合格后一年。</w:t>
      </w:r>
    </w:p>
    <w:p w14:paraId="5FC0DE3A">
      <w:pPr>
        <w:spacing w:line="360" w:lineRule="auto"/>
        <w:rPr>
          <w:rFonts w:ascii="宋体" w:hAnsi="宋体" w:eastAsia="宋体" w:cs="宋体"/>
          <w:color w:val="121212"/>
          <w:sz w:val="24"/>
          <w:szCs w:val="24"/>
        </w:rPr>
      </w:pPr>
      <w:r>
        <w:rPr>
          <w:rFonts w:hint="eastAsia" w:ascii="宋体" w:hAnsi="宋体" w:eastAsia="宋体" w:cs="宋体"/>
          <w:b/>
          <w:color w:val="121212"/>
          <w:sz w:val="24"/>
          <w:szCs w:val="24"/>
        </w:rPr>
        <w:t>八、货物运输</w:t>
      </w:r>
    </w:p>
    <w:p w14:paraId="18DAA002">
      <w:pPr>
        <w:spacing w:line="360" w:lineRule="auto"/>
        <w:ind w:left="20" w:right="60" w:firstLine="480"/>
        <w:rPr>
          <w:rFonts w:ascii="宋体" w:hAnsi="宋体" w:eastAsia="宋体" w:cs="宋体"/>
          <w:color w:val="121212"/>
          <w:sz w:val="24"/>
          <w:szCs w:val="24"/>
        </w:rPr>
      </w:pPr>
      <w:r>
        <w:rPr>
          <w:rFonts w:hint="eastAsia" w:ascii="宋体" w:hAnsi="宋体" w:eastAsia="宋体" w:cs="宋体"/>
          <w:color w:val="121212"/>
          <w:sz w:val="24"/>
          <w:szCs w:val="24"/>
        </w:rPr>
        <w:t>1、乙方负责所有货物的运输并搬运至甲方指定位置，按照甲方要求码垛整齐。确保货物按期、安全、完整到达指定地点，运杂费用包含在总价内，即货物的运输费、搬运费等。</w:t>
      </w:r>
    </w:p>
    <w:p w14:paraId="29C9E17F">
      <w:pPr>
        <w:spacing w:line="360" w:lineRule="auto"/>
        <w:ind w:left="20" w:right="60" w:firstLine="480"/>
        <w:rPr>
          <w:rFonts w:ascii="宋体" w:hAnsi="宋体" w:eastAsia="宋体" w:cs="宋体"/>
          <w:color w:val="121212"/>
          <w:sz w:val="24"/>
          <w:szCs w:val="24"/>
        </w:rPr>
      </w:pPr>
      <w:r>
        <w:rPr>
          <w:rFonts w:hint="eastAsia" w:ascii="宋体" w:hAnsi="宋体" w:eastAsia="宋体" w:cs="宋体"/>
          <w:color w:val="121212"/>
          <w:sz w:val="24"/>
          <w:szCs w:val="24"/>
        </w:rPr>
        <w:t>2、所有货物在运输、搬运的过程中，因乙方原因造成甲方损失的，由乙方为甲方修复或更新。</w:t>
      </w:r>
    </w:p>
    <w:p w14:paraId="6B0EA3EC">
      <w:pPr>
        <w:spacing w:line="360" w:lineRule="auto"/>
        <w:ind w:left="20" w:right="60" w:firstLine="480"/>
        <w:rPr>
          <w:rFonts w:ascii="宋体" w:hAnsi="宋体" w:eastAsia="宋体" w:cs="宋体"/>
          <w:color w:val="121212"/>
          <w:sz w:val="24"/>
          <w:szCs w:val="24"/>
        </w:rPr>
      </w:pPr>
      <w:r>
        <w:rPr>
          <w:rFonts w:hint="eastAsia" w:ascii="宋体" w:hAnsi="宋体" w:eastAsia="宋体" w:cs="宋体"/>
          <w:color w:val="121212"/>
          <w:sz w:val="24"/>
          <w:szCs w:val="24"/>
        </w:rPr>
        <w:t>3、提供免费配货、送货服务，根据双方达成的协议每类货物单批次完成配送。配货按时，送达准确，确保所有货物送至指定地点。</w:t>
      </w:r>
    </w:p>
    <w:p w14:paraId="2F1AC09A">
      <w:pPr>
        <w:spacing w:line="360" w:lineRule="auto"/>
        <w:ind w:left="20" w:right="60" w:firstLine="480"/>
        <w:rPr>
          <w:rFonts w:ascii="宋体" w:hAnsi="宋体" w:eastAsia="宋体" w:cs="宋体"/>
          <w:color w:val="121212"/>
          <w:sz w:val="24"/>
          <w:szCs w:val="24"/>
          <w:highlight w:val="none"/>
        </w:rPr>
      </w:pPr>
      <w:r>
        <w:rPr>
          <w:rFonts w:hint="eastAsia" w:ascii="宋体" w:hAnsi="宋体" w:eastAsia="宋体" w:cs="宋体"/>
          <w:color w:val="121212"/>
          <w:sz w:val="24"/>
          <w:szCs w:val="24"/>
          <w:highlight w:val="none"/>
        </w:rPr>
        <w:t>4、物流时效：省内配送不超过3个工作日，省外不超过7个工作日；提供物流实时追踪信息。</w:t>
      </w:r>
    </w:p>
    <w:p w14:paraId="14E92586">
      <w:pPr>
        <w:spacing w:before="52" w:line="360" w:lineRule="auto"/>
        <w:rPr>
          <w:rFonts w:ascii="宋体" w:hAnsi="宋体" w:eastAsia="宋体" w:cs="宋体"/>
          <w:color w:val="121212"/>
          <w:sz w:val="24"/>
          <w:szCs w:val="24"/>
          <w:highlight w:val="none"/>
        </w:rPr>
      </w:pPr>
      <w:r>
        <w:rPr>
          <w:rFonts w:hint="eastAsia" w:ascii="宋体" w:hAnsi="宋体" w:eastAsia="宋体" w:cs="宋体"/>
          <w:b/>
          <w:color w:val="121212"/>
          <w:sz w:val="24"/>
          <w:szCs w:val="24"/>
          <w:highlight w:val="none"/>
        </w:rPr>
        <w:t>九、权利和义务</w:t>
      </w:r>
    </w:p>
    <w:p w14:paraId="00413B0D">
      <w:pPr>
        <w:spacing w:line="360" w:lineRule="auto"/>
        <w:ind w:left="20" w:right="60" w:firstLine="480"/>
        <w:rPr>
          <w:rFonts w:ascii="宋体" w:hAnsi="宋体" w:eastAsia="宋体" w:cs="宋体"/>
          <w:color w:val="121212"/>
          <w:sz w:val="24"/>
          <w:szCs w:val="24"/>
          <w:highlight w:val="none"/>
        </w:rPr>
      </w:pPr>
      <w:r>
        <w:rPr>
          <w:rFonts w:hint="eastAsia" w:ascii="宋体" w:hAnsi="宋体" w:eastAsia="宋体" w:cs="宋体"/>
          <w:color w:val="121212"/>
          <w:sz w:val="24"/>
          <w:szCs w:val="24"/>
          <w:highlight w:val="none"/>
        </w:rPr>
        <w:t>1、乙方应保证甲方在使用该产品或其任何一部分时免受第三方提出侵犯其专利权、商标权或工业设计权的起诉。</w:t>
      </w:r>
    </w:p>
    <w:p w14:paraId="2C6EBD89">
      <w:pPr>
        <w:spacing w:line="360" w:lineRule="auto"/>
        <w:ind w:left="20" w:right="60" w:firstLine="480"/>
        <w:rPr>
          <w:rFonts w:hint="eastAsia" w:ascii="宋体" w:hAnsi="宋体" w:eastAsia="宋体" w:cs="宋体"/>
          <w:color w:val="121212"/>
          <w:sz w:val="24"/>
          <w:szCs w:val="24"/>
          <w:highlight w:val="none"/>
        </w:rPr>
      </w:pPr>
      <w:r>
        <w:rPr>
          <w:rFonts w:hint="eastAsia" w:ascii="宋体" w:hAnsi="宋体" w:eastAsia="宋体" w:cs="宋体"/>
          <w:color w:val="121212"/>
          <w:sz w:val="24"/>
          <w:szCs w:val="24"/>
          <w:highlight w:val="none"/>
        </w:rPr>
        <w:t>2、产品质量不符合合同规定时，乙方负责包退包换。</w:t>
      </w:r>
    </w:p>
    <w:p w14:paraId="69866BB2">
      <w:pPr>
        <w:spacing w:line="360" w:lineRule="auto"/>
        <w:ind w:left="20" w:right="40" w:firstLine="480"/>
        <w:rPr>
          <w:rFonts w:hint="eastAsia" w:ascii="宋体" w:hAnsi="宋体" w:eastAsia="宋体" w:cs="宋体"/>
          <w:color w:val="121212"/>
          <w:sz w:val="24"/>
          <w:szCs w:val="24"/>
          <w:highlight w:val="none"/>
          <w:lang w:val="en-US" w:eastAsia="zh-CN"/>
        </w:rPr>
      </w:pPr>
      <w:r>
        <w:rPr>
          <w:rFonts w:hint="eastAsia" w:ascii="宋体" w:hAnsi="宋体" w:eastAsia="宋体" w:cs="宋体"/>
          <w:color w:val="121212"/>
          <w:sz w:val="24"/>
          <w:szCs w:val="24"/>
          <w:highlight w:val="none"/>
          <w:lang w:val="en-US" w:eastAsia="zh-CN"/>
        </w:rPr>
        <w:t>3、乙方</w:t>
      </w:r>
      <w:r>
        <w:rPr>
          <w:rFonts w:hint="eastAsia" w:ascii="宋体" w:hAnsi="宋体" w:eastAsia="宋体" w:cs="宋体"/>
          <w:color w:val="121212"/>
          <w:sz w:val="24"/>
          <w:szCs w:val="24"/>
          <w:highlight w:val="none"/>
          <w:lang w:eastAsia="zh-CN"/>
        </w:rPr>
        <w:t>设计终稿需要经</w:t>
      </w:r>
      <w:r>
        <w:rPr>
          <w:rFonts w:hint="eastAsia" w:ascii="宋体" w:hAnsi="宋体" w:eastAsia="宋体" w:cs="宋体"/>
          <w:color w:val="121212"/>
          <w:sz w:val="24"/>
          <w:szCs w:val="24"/>
          <w:highlight w:val="none"/>
          <w:lang w:val="en-US" w:eastAsia="zh-CN"/>
        </w:rPr>
        <w:t>甲方</w:t>
      </w:r>
      <w:r>
        <w:rPr>
          <w:rFonts w:hint="eastAsia" w:ascii="宋体" w:hAnsi="宋体" w:eastAsia="宋体" w:cs="宋体"/>
          <w:color w:val="121212"/>
          <w:sz w:val="24"/>
          <w:szCs w:val="24"/>
          <w:highlight w:val="none"/>
          <w:lang w:eastAsia="zh-CN"/>
        </w:rPr>
        <w:t>确认才可批量制作。</w:t>
      </w:r>
      <w:r>
        <w:rPr>
          <w:rFonts w:hint="eastAsia" w:ascii="宋体" w:hAnsi="宋体" w:eastAsia="宋体" w:cs="宋体"/>
          <w:color w:val="121212"/>
          <w:sz w:val="24"/>
          <w:szCs w:val="24"/>
          <w:highlight w:val="none"/>
          <w:lang w:val="en-US" w:eastAsia="zh-CN"/>
        </w:rPr>
        <w:t>甲方</w:t>
      </w:r>
      <w:r>
        <w:rPr>
          <w:rFonts w:hint="eastAsia" w:ascii="宋体" w:hAnsi="宋体" w:eastAsia="宋体" w:cs="宋体"/>
          <w:color w:val="121212"/>
          <w:sz w:val="24"/>
          <w:szCs w:val="24"/>
          <w:highlight w:val="none"/>
          <w:lang w:eastAsia="zh-CN"/>
        </w:rPr>
        <w:t>有权要求</w:t>
      </w:r>
      <w:r>
        <w:rPr>
          <w:rFonts w:hint="eastAsia" w:ascii="宋体" w:hAnsi="宋体" w:eastAsia="宋体" w:cs="宋体"/>
          <w:color w:val="121212"/>
          <w:sz w:val="24"/>
          <w:szCs w:val="24"/>
          <w:highlight w:val="none"/>
          <w:lang w:val="en-US" w:eastAsia="zh-CN"/>
        </w:rPr>
        <w:t>乙方</w:t>
      </w:r>
      <w:r>
        <w:rPr>
          <w:rFonts w:hint="eastAsia" w:ascii="宋体" w:hAnsi="宋体" w:eastAsia="宋体" w:cs="宋体"/>
          <w:color w:val="121212"/>
          <w:sz w:val="24"/>
          <w:szCs w:val="24"/>
          <w:highlight w:val="none"/>
          <w:lang w:eastAsia="zh-CN"/>
        </w:rPr>
        <w:t>对设计不满意之处进行修改，</w:t>
      </w:r>
      <w:r>
        <w:rPr>
          <w:rFonts w:hint="eastAsia" w:ascii="宋体" w:hAnsi="宋体" w:eastAsia="宋体" w:cs="宋体"/>
          <w:color w:val="121212"/>
          <w:sz w:val="24"/>
          <w:szCs w:val="24"/>
          <w:highlight w:val="none"/>
          <w:lang w:val="en-US" w:eastAsia="zh-CN"/>
        </w:rPr>
        <w:t>乙方</w:t>
      </w:r>
      <w:r>
        <w:rPr>
          <w:rFonts w:hint="eastAsia" w:ascii="宋体" w:hAnsi="宋体" w:eastAsia="宋体" w:cs="宋体"/>
          <w:color w:val="121212"/>
          <w:sz w:val="24"/>
          <w:szCs w:val="24"/>
          <w:highlight w:val="none"/>
          <w:lang w:eastAsia="zh-CN"/>
        </w:rPr>
        <w:t>须无条件配合修改，直至</w:t>
      </w:r>
      <w:r>
        <w:rPr>
          <w:rFonts w:hint="eastAsia" w:ascii="宋体" w:hAnsi="宋体" w:eastAsia="宋体" w:cs="宋体"/>
          <w:color w:val="121212"/>
          <w:sz w:val="24"/>
          <w:szCs w:val="24"/>
          <w:highlight w:val="none"/>
          <w:lang w:val="en-US" w:eastAsia="zh-CN"/>
        </w:rPr>
        <w:t>甲方</w:t>
      </w:r>
      <w:r>
        <w:rPr>
          <w:rFonts w:hint="eastAsia" w:ascii="宋体" w:hAnsi="宋体" w:eastAsia="宋体" w:cs="宋体"/>
          <w:color w:val="121212"/>
          <w:sz w:val="24"/>
          <w:szCs w:val="24"/>
          <w:highlight w:val="none"/>
          <w:lang w:eastAsia="zh-CN"/>
        </w:rPr>
        <w:t>满意为止。此费用已包含在</w:t>
      </w:r>
      <w:r>
        <w:rPr>
          <w:rFonts w:hint="eastAsia" w:ascii="宋体" w:hAnsi="宋体" w:eastAsia="宋体" w:cs="宋体"/>
          <w:color w:val="121212"/>
          <w:sz w:val="24"/>
          <w:szCs w:val="24"/>
          <w:highlight w:val="none"/>
          <w:lang w:val="en-US" w:eastAsia="zh-CN"/>
        </w:rPr>
        <w:t>合同价</w:t>
      </w:r>
      <w:r>
        <w:rPr>
          <w:rFonts w:hint="eastAsia" w:ascii="宋体" w:hAnsi="宋体" w:eastAsia="宋体" w:cs="宋体"/>
          <w:color w:val="121212"/>
          <w:sz w:val="24"/>
          <w:szCs w:val="24"/>
          <w:highlight w:val="none"/>
          <w:lang w:eastAsia="zh-CN"/>
        </w:rPr>
        <w:t>中。</w:t>
      </w:r>
    </w:p>
    <w:p w14:paraId="2BCB5003">
      <w:pPr>
        <w:spacing w:line="360" w:lineRule="auto"/>
        <w:ind w:left="20" w:right="40" w:firstLine="480"/>
        <w:rPr>
          <w:rFonts w:ascii="宋体" w:hAnsi="宋体" w:eastAsia="宋体" w:cs="宋体"/>
          <w:color w:val="121212"/>
          <w:sz w:val="24"/>
          <w:szCs w:val="24"/>
        </w:rPr>
      </w:pPr>
      <w:r>
        <w:rPr>
          <w:rFonts w:hint="eastAsia" w:ascii="宋体" w:hAnsi="宋体" w:eastAsia="宋体" w:cs="宋体"/>
          <w:color w:val="121212"/>
          <w:sz w:val="24"/>
          <w:szCs w:val="24"/>
        </w:rPr>
        <w:t>4、如乙方未能按照采购参数要求提供甲方所需货物，且七日内无法完成整改，甲方可终止合同。</w:t>
      </w:r>
    </w:p>
    <w:p w14:paraId="570EAF9C">
      <w:pPr>
        <w:numPr>
          <w:ilvl w:val="255"/>
          <w:numId w:val="0"/>
        </w:numPr>
        <w:spacing w:line="360" w:lineRule="auto"/>
        <w:ind w:left="540"/>
        <w:rPr>
          <w:rFonts w:ascii="宋体" w:hAnsi="宋体" w:eastAsia="宋体" w:cs="宋体"/>
          <w:color w:val="121212"/>
          <w:sz w:val="24"/>
          <w:szCs w:val="24"/>
        </w:rPr>
      </w:pPr>
      <w:r>
        <w:rPr>
          <w:rFonts w:hint="eastAsia" w:ascii="宋体" w:hAnsi="宋体" w:eastAsia="宋体" w:cs="宋体"/>
          <w:color w:val="121212"/>
          <w:sz w:val="24"/>
          <w:szCs w:val="24"/>
        </w:rPr>
        <w:t>5、如遇不可抗拒因素，甲方可终止合同。</w:t>
      </w:r>
    </w:p>
    <w:p w14:paraId="23B4A5F2">
      <w:pPr>
        <w:spacing w:before="68" w:line="360" w:lineRule="auto"/>
        <w:rPr>
          <w:rFonts w:ascii="宋体" w:hAnsi="宋体" w:eastAsia="宋体" w:cs="宋体"/>
          <w:b/>
          <w:bCs/>
          <w:color w:val="121212"/>
          <w:sz w:val="24"/>
          <w:szCs w:val="24"/>
        </w:rPr>
      </w:pPr>
      <w:r>
        <w:rPr>
          <w:rFonts w:hint="eastAsia" w:ascii="宋体" w:hAnsi="宋体" w:eastAsia="宋体" w:cs="宋体"/>
          <w:b/>
          <w:bCs/>
          <w:color w:val="121212"/>
          <w:sz w:val="24"/>
          <w:szCs w:val="24"/>
        </w:rPr>
        <w:t>十、售后服务</w:t>
      </w:r>
    </w:p>
    <w:p w14:paraId="1E5B0067">
      <w:pPr>
        <w:spacing w:line="360" w:lineRule="auto"/>
        <w:ind w:left="20" w:right="60" w:firstLine="480"/>
        <w:rPr>
          <w:rFonts w:ascii="宋体" w:hAnsi="宋体" w:eastAsia="宋体" w:cs="宋体"/>
          <w:color w:val="121212"/>
          <w:sz w:val="24"/>
          <w:szCs w:val="24"/>
        </w:rPr>
      </w:pPr>
      <w:r>
        <w:rPr>
          <w:rFonts w:hint="eastAsia" w:ascii="宋体" w:hAnsi="宋体" w:eastAsia="宋体" w:cs="宋体"/>
          <w:color w:val="121212"/>
          <w:sz w:val="24"/>
          <w:szCs w:val="24"/>
        </w:rPr>
        <w:t>1、质量问题快速响应：采购方提供问题产品照片/视频后，服务商需无条件先行寄送合格替换品，再回收问题产品（运费由服务商承担）；若出现批量性问题（单批次不良率≥5%），需立即暂停交付并启动全面质检，同时向采购方提交《质量事故分析报告》及改进方案。</w:t>
      </w:r>
    </w:p>
    <w:p w14:paraId="76AE2C41">
      <w:pPr>
        <w:spacing w:line="360" w:lineRule="auto"/>
        <w:ind w:left="20" w:right="60" w:firstLine="480"/>
        <w:rPr>
          <w:rFonts w:ascii="宋体" w:hAnsi="宋体" w:eastAsia="宋体" w:cs="宋体"/>
          <w:color w:val="121212"/>
          <w:sz w:val="24"/>
          <w:szCs w:val="24"/>
        </w:rPr>
      </w:pPr>
      <w:r>
        <w:rPr>
          <w:rFonts w:hint="eastAsia" w:ascii="宋体" w:hAnsi="宋体" w:eastAsia="宋体" w:cs="宋体"/>
          <w:color w:val="121212"/>
          <w:sz w:val="24"/>
          <w:szCs w:val="24"/>
        </w:rPr>
        <w:t>2、产品质量不符合验收依据时，甲方可拒绝验收，乙方负责包退包换。由于上述原因导致延误交货时间的，乙方应按照本合同“违约责任”条款中的约定向甲方支付逾期交付违约金。</w:t>
      </w:r>
    </w:p>
    <w:p w14:paraId="7F0344BA">
      <w:pPr>
        <w:spacing w:line="360" w:lineRule="auto"/>
        <w:ind w:left="20" w:right="60" w:firstLine="480"/>
        <w:rPr>
          <w:rFonts w:ascii="宋体" w:hAnsi="宋体" w:eastAsia="宋体" w:cs="宋体"/>
          <w:color w:val="121212"/>
          <w:sz w:val="24"/>
          <w:szCs w:val="24"/>
        </w:rPr>
      </w:pPr>
      <w:r>
        <w:rPr>
          <w:rFonts w:hint="eastAsia" w:ascii="宋体" w:hAnsi="宋体" w:eastAsia="宋体" w:cs="宋体"/>
          <w:color w:val="121212"/>
          <w:sz w:val="24"/>
          <w:szCs w:val="24"/>
        </w:rPr>
        <w:t>3、在履行合同过程中，除不可抗力因素外，如果乙方遇到可能妨碍按时交货和提供服务的情况，应及时以书面形式将拖延的事实，可能拖延的期限和理由通知甲方。甲方在收到乙方通知后，应尽快对情况进行评价，酌情延长交货时间或对乙方加收误期赔偿金。在不影响合同项下的其它补救措施情况下，甲方可从合同未付款中扣除误期违约金,金额以本合同“违约责任”条款中的约定为准。误期赔偿费的最高限额为合同价格的百分之十（10%）。一旦达到误期赔偿费的最高限额或发生误期供货≧3次，甲方可终止合同。如按上述办法计算的违约金仍不足以补偿因乙方违约造成的损失，甲方有权进一步向乙方提出索赔。</w:t>
      </w:r>
    </w:p>
    <w:p w14:paraId="16224499">
      <w:pPr>
        <w:spacing w:line="360" w:lineRule="auto"/>
        <w:ind w:left="20" w:right="60" w:firstLine="480"/>
        <w:rPr>
          <w:rFonts w:ascii="宋体" w:hAnsi="宋体" w:eastAsia="宋体" w:cs="宋体"/>
          <w:color w:val="121212"/>
          <w:sz w:val="24"/>
          <w:szCs w:val="24"/>
        </w:rPr>
      </w:pPr>
      <w:r>
        <w:rPr>
          <w:rFonts w:hint="eastAsia" w:ascii="宋体" w:hAnsi="宋体" w:eastAsia="宋体" w:cs="宋体"/>
          <w:color w:val="121212"/>
          <w:sz w:val="24"/>
          <w:szCs w:val="24"/>
        </w:rPr>
        <w:t>4、备品备件支持：服务商需按订单量的1%提供备用品，随大货同步交付至采购方指定仓库。该备用品所有权归甲方，其质量标准应与正品完全一致，用于甲方在质保期内进行零星更换。超出1%部分的备品需求，双方另行协商。</w:t>
      </w:r>
    </w:p>
    <w:p w14:paraId="244C9AEC">
      <w:pPr>
        <w:spacing w:line="360" w:lineRule="auto"/>
        <w:rPr>
          <w:rFonts w:ascii="宋体" w:hAnsi="宋体" w:cs="宋体"/>
          <w:b/>
          <w:bCs/>
          <w:sz w:val="24"/>
          <w:szCs w:val="24"/>
        </w:rPr>
      </w:pPr>
      <w:r>
        <w:rPr>
          <w:rFonts w:hint="eastAsia" w:ascii="宋体" w:hAnsi="宋体" w:eastAsia="宋体" w:cs="宋体"/>
          <w:b/>
          <w:color w:val="121212"/>
          <w:sz w:val="24"/>
          <w:szCs w:val="24"/>
        </w:rPr>
        <w:t>十一、</w:t>
      </w:r>
      <w:r>
        <w:rPr>
          <w:rFonts w:hint="eastAsia" w:ascii="宋体" w:hAnsi="宋体" w:cs="宋体"/>
          <w:b/>
          <w:bCs/>
          <w:sz w:val="24"/>
          <w:szCs w:val="24"/>
        </w:rPr>
        <w:t>保密义务</w:t>
      </w:r>
    </w:p>
    <w:p w14:paraId="1A2963FB">
      <w:pPr>
        <w:spacing w:line="360" w:lineRule="auto"/>
        <w:ind w:firstLine="480" w:firstLineChars="200"/>
        <w:rPr>
          <w:rFonts w:ascii="宋体" w:hAnsi="宋体" w:cs="宋体"/>
          <w:sz w:val="24"/>
          <w:szCs w:val="24"/>
        </w:rPr>
      </w:pPr>
      <w:r>
        <w:rPr>
          <w:rFonts w:hint="eastAsia" w:ascii="宋体" w:hAnsi="宋体" w:cs="宋体"/>
          <w:sz w:val="24"/>
          <w:szCs w:val="24"/>
        </w:rPr>
        <w:t>1、乙方因承接本合同约定项目所知悉的该项目信息或甲方信息，以及在项目实施过程中所产生的与该项目有关的全部信息均为甲方的保密信息，乙方应按照《中华人民共和国保守国家秘密法》、《中华人民共和国保守国家秘密法实施办法》及甲方关于保密工作的相关要求，对上述保密信息承担保密义务。除法律另有规定外，未经甲方书面同意，乙方不得将甲方保密信息透露给任何第三方。</w:t>
      </w:r>
    </w:p>
    <w:p w14:paraId="0F9C5380">
      <w:pPr>
        <w:spacing w:line="360" w:lineRule="auto"/>
        <w:ind w:firstLine="480" w:firstLineChars="200"/>
        <w:rPr>
          <w:rFonts w:ascii="宋体" w:hAnsi="宋体" w:cs="宋体"/>
          <w:sz w:val="24"/>
          <w:szCs w:val="24"/>
        </w:rPr>
      </w:pPr>
      <w:r>
        <w:rPr>
          <w:rFonts w:hint="eastAsia" w:ascii="宋体" w:hAnsi="宋体" w:cs="宋体"/>
          <w:sz w:val="24"/>
          <w:szCs w:val="24"/>
        </w:rPr>
        <w:t>2、乙方应对上述保密信息予以妥善保存，并保证仅将其用于与完成本合同项下约定项目实施有关的用途或目的。在缺少相关保密条款约定时，对上述保密信息，乙方应至少采取适用于对自己核心机密进行保护的同等保护措施和审慎程度进行保密。</w:t>
      </w:r>
    </w:p>
    <w:p w14:paraId="618B1F66">
      <w:pPr>
        <w:spacing w:line="360" w:lineRule="auto"/>
        <w:ind w:firstLine="480" w:firstLineChars="200"/>
        <w:rPr>
          <w:rFonts w:ascii="宋体" w:hAnsi="宋体" w:cs="宋体"/>
          <w:sz w:val="24"/>
          <w:szCs w:val="24"/>
        </w:rPr>
      </w:pPr>
      <w:r>
        <w:rPr>
          <w:rFonts w:hint="eastAsia" w:ascii="宋体" w:hAnsi="宋体" w:cs="宋体"/>
          <w:sz w:val="24"/>
          <w:szCs w:val="24"/>
        </w:rPr>
        <w:t>3、乙方保证将保密信息的披露范围严格控制在直接从事该项目工作且因工作需要有必要知悉保密信息的工作人员范围内，对乙方非从事该项目的人员一律严格保密。</w:t>
      </w:r>
    </w:p>
    <w:p w14:paraId="2C10537B">
      <w:pPr>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4</w:t>
      </w:r>
      <w:r>
        <w:rPr>
          <w:rFonts w:hint="eastAsia" w:ascii="宋体" w:hAnsi="宋体" w:cs="宋体"/>
          <w:sz w:val="24"/>
          <w:szCs w:val="24"/>
        </w:rPr>
        <w:t>、非经甲方特别授权，甲方向乙方提供的任何保密信息并不包括授予乙方该保密信息包含的任何专利权、商标权、著作权、商业秘密或其它类型的知识产权。</w:t>
      </w:r>
    </w:p>
    <w:p w14:paraId="2C0625FA">
      <w:pPr>
        <w:spacing w:line="360" w:lineRule="auto"/>
        <w:rPr>
          <w:rFonts w:ascii="宋体" w:hAnsi="宋体" w:eastAsia="宋体" w:cs="宋体"/>
          <w:color w:val="121212"/>
          <w:sz w:val="24"/>
          <w:szCs w:val="24"/>
        </w:rPr>
      </w:pPr>
      <w:r>
        <w:rPr>
          <w:rFonts w:hint="eastAsia" w:ascii="宋体" w:hAnsi="宋体" w:eastAsia="宋体" w:cs="宋体"/>
          <w:b/>
          <w:color w:val="121212"/>
          <w:sz w:val="24"/>
          <w:szCs w:val="24"/>
        </w:rPr>
        <w:t>十二、违约责任</w:t>
      </w:r>
    </w:p>
    <w:p w14:paraId="27D2F177">
      <w:pPr>
        <w:spacing w:line="360" w:lineRule="auto"/>
        <w:ind w:firstLine="540"/>
        <w:rPr>
          <w:rFonts w:ascii="宋体" w:hAnsi="宋体" w:eastAsia="宋体" w:cs="宋体"/>
          <w:color w:val="121212"/>
          <w:sz w:val="24"/>
          <w:szCs w:val="24"/>
        </w:rPr>
      </w:pPr>
      <w:r>
        <w:rPr>
          <w:rFonts w:hint="eastAsia" w:ascii="宋体" w:hAnsi="宋体" w:eastAsia="宋体" w:cs="宋体"/>
          <w:color w:val="121212"/>
          <w:sz w:val="24"/>
          <w:szCs w:val="24"/>
        </w:rPr>
        <w:t>1、除不可抗力外，乙方逾期交付货物的，每逾期一日，应按合同总金额的千分之三向甲方支付违约金。逾期超过15日的，甲方有权单方解除合同，并要求乙方支付合同总金额20%的违约金。</w:t>
      </w:r>
    </w:p>
    <w:p w14:paraId="00C87B40">
      <w:pPr>
        <w:spacing w:line="360" w:lineRule="auto"/>
        <w:ind w:firstLine="540"/>
        <w:rPr>
          <w:rFonts w:ascii="宋体" w:hAnsi="宋体" w:eastAsia="宋体" w:cs="宋体"/>
          <w:color w:val="121212"/>
          <w:sz w:val="24"/>
          <w:szCs w:val="24"/>
        </w:rPr>
      </w:pPr>
      <w:r>
        <w:rPr>
          <w:rFonts w:hint="eastAsia" w:ascii="宋体" w:hAnsi="宋体" w:eastAsia="宋体" w:cs="宋体"/>
          <w:color w:val="121212"/>
          <w:sz w:val="24"/>
          <w:szCs w:val="24"/>
        </w:rPr>
        <w:t>2、经最终验收或质保期内发现产品存在批量性或严重质量问题的，甲方有权要求乙方在10日内无条件更换或重做。若乙方拒绝或更换后仍不合格，甲方有权解除合同并要求乙方返还已支付的全部款项，并赔偿甲方因此造成的全部损失。</w:t>
      </w:r>
    </w:p>
    <w:p w14:paraId="254D89C9">
      <w:pPr>
        <w:spacing w:line="360" w:lineRule="auto"/>
        <w:ind w:firstLine="540"/>
        <w:rPr>
          <w:rFonts w:ascii="宋体" w:hAnsi="宋体" w:eastAsia="宋体" w:cs="宋体"/>
          <w:color w:val="121212"/>
          <w:sz w:val="24"/>
          <w:szCs w:val="24"/>
        </w:rPr>
      </w:pPr>
      <w:r>
        <w:rPr>
          <w:rFonts w:hint="eastAsia" w:ascii="宋体" w:hAnsi="宋体" w:eastAsia="宋体" w:cs="宋体"/>
          <w:color w:val="121212"/>
          <w:sz w:val="24"/>
          <w:szCs w:val="24"/>
        </w:rPr>
        <w:t>3、若乙方提供的产品侵犯第三方知识产权，除承担本合同知识产权条款约定的赔偿责任外，还应向甲方支付合同总金额30%的违约金。</w:t>
      </w:r>
    </w:p>
    <w:p w14:paraId="777BFCF4">
      <w:pPr>
        <w:spacing w:line="360" w:lineRule="auto"/>
        <w:ind w:firstLine="540"/>
        <w:rPr>
          <w:rFonts w:ascii="宋体" w:hAnsi="宋体" w:eastAsia="宋体" w:cs="宋体"/>
          <w:color w:val="121212"/>
          <w:sz w:val="24"/>
          <w:szCs w:val="24"/>
        </w:rPr>
      </w:pPr>
      <w:r>
        <w:rPr>
          <w:rFonts w:hint="eastAsia" w:ascii="宋体" w:hAnsi="宋体" w:eastAsia="宋体" w:cs="宋体"/>
          <w:color w:val="121212"/>
          <w:sz w:val="24"/>
          <w:szCs w:val="24"/>
        </w:rPr>
        <w:t>4、乙方应支付的违约金、赔偿金，甲方有权从任何未付合同款项中直接扣除。若违约金不足以弥补甲方实际损失的，甲方有权继续向乙方追偿。</w:t>
      </w:r>
    </w:p>
    <w:p w14:paraId="29B44CC4">
      <w:pPr>
        <w:spacing w:line="360" w:lineRule="auto"/>
        <w:ind w:firstLine="540"/>
        <w:rPr>
          <w:rFonts w:ascii="宋体" w:hAnsi="宋体" w:eastAsia="宋体" w:cs="宋体"/>
          <w:color w:val="121212"/>
          <w:sz w:val="24"/>
          <w:szCs w:val="24"/>
        </w:rPr>
      </w:pPr>
      <w:r>
        <w:rPr>
          <w:rFonts w:hint="eastAsia" w:ascii="宋体" w:hAnsi="宋体" w:eastAsia="宋体" w:cs="宋体"/>
          <w:color w:val="121212"/>
          <w:sz w:val="24"/>
          <w:szCs w:val="24"/>
        </w:rPr>
        <w:t>5、乙方出现任何违约行为，给甲方造成损失的，除支付违约金外，还应赔偿甲方的全部直接及间接损失，包括但不限于为解决争议支付的诉讼费、律师费、保全费等。</w:t>
      </w:r>
    </w:p>
    <w:p w14:paraId="7674BB50">
      <w:pPr>
        <w:spacing w:before="67" w:line="360" w:lineRule="auto"/>
        <w:rPr>
          <w:rFonts w:ascii="宋体" w:hAnsi="宋体" w:eastAsia="宋体" w:cs="宋体"/>
          <w:color w:val="121212"/>
          <w:sz w:val="24"/>
          <w:szCs w:val="24"/>
        </w:rPr>
      </w:pPr>
      <w:r>
        <w:rPr>
          <w:rFonts w:hint="eastAsia" w:ascii="宋体" w:hAnsi="宋体" w:eastAsia="宋体" w:cs="宋体"/>
          <w:b/>
          <w:color w:val="121212"/>
          <w:sz w:val="24"/>
          <w:szCs w:val="24"/>
        </w:rPr>
        <w:t>十三、争议的解决</w:t>
      </w:r>
    </w:p>
    <w:p w14:paraId="4C9FD90F">
      <w:pPr>
        <w:spacing w:before="26" w:line="360" w:lineRule="auto"/>
        <w:ind w:firstLine="540"/>
        <w:rPr>
          <w:rFonts w:ascii="宋体" w:hAnsi="宋体" w:eastAsia="宋体" w:cs="宋体"/>
          <w:color w:val="121212"/>
          <w:sz w:val="24"/>
          <w:szCs w:val="24"/>
        </w:rPr>
      </w:pPr>
      <w:r>
        <w:rPr>
          <w:rFonts w:hint="eastAsia" w:ascii="宋体" w:hAnsi="宋体" w:eastAsia="宋体" w:cs="宋体"/>
          <w:color w:val="121212"/>
          <w:sz w:val="24"/>
          <w:szCs w:val="24"/>
        </w:rPr>
        <w:t>1、甲乙双方所有争议应先采取友好协商的解决方式。</w:t>
      </w:r>
    </w:p>
    <w:p w14:paraId="0935D3AD">
      <w:pPr>
        <w:spacing w:before="26" w:line="360" w:lineRule="auto"/>
        <w:ind w:firstLine="540"/>
        <w:rPr>
          <w:rFonts w:ascii="宋体" w:hAnsi="宋体" w:eastAsia="宋体" w:cs="宋体"/>
          <w:color w:val="121212"/>
          <w:sz w:val="24"/>
          <w:szCs w:val="24"/>
        </w:rPr>
      </w:pPr>
      <w:r>
        <w:rPr>
          <w:rFonts w:hint="eastAsia" w:ascii="宋体" w:hAnsi="宋体" w:eastAsia="宋体" w:cs="宋体"/>
          <w:color w:val="121212"/>
          <w:sz w:val="24"/>
          <w:szCs w:val="24"/>
        </w:rPr>
        <w:t>2、协商未达成一致意见的，应提请甲方所在地有管辖权的人民法院诉讼解决。</w:t>
      </w:r>
    </w:p>
    <w:p w14:paraId="5CF80AD4">
      <w:pPr>
        <w:spacing w:before="26" w:line="360" w:lineRule="auto"/>
        <w:ind w:firstLine="540"/>
        <w:rPr>
          <w:rFonts w:ascii="宋体" w:hAnsi="宋体" w:eastAsia="宋体" w:cs="宋体"/>
          <w:color w:val="121212"/>
          <w:sz w:val="24"/>
          <w:szCs w:val="24"/>
        </w:rPr>
      </w:pPr>
      <w:r>
        <w:rPr>
          <w:rFonts w:hint="eastAsia" w:ascii="宋体" w:hAnsi="宋体" w:eastAsia="宋体" w:cs="宋体"/>
          <w:color w:val="121212"/>
          <w:sz w:val="24"/>
          <w:szCs w:val="24"/>
        </w:rPr>
        <w:t>3、一方违约导致另一方采取法律途径维护合法权益的，违约方应承担守约方为维护权利而支出的仲裁受理费、仲裁处理费、保全费、保全保险费、律师费、交通费等全部费用。</w:t>
      </w:r>
    </w:p>
    <w:p w14:paraId="3BC7FF25">
      <w:pPr>
        <w:spacing w:before="26" w:line="360" w:lineRule="auto"/>
        <w:ind w:firstLine="540"/>
        <w:rPr>
          <w:rFonts w:ascii="宋体" w:hAnsi="宋体" w:eastAsia="宋体" w:cs="宋体"/>
          <w:color w:val="121212"/>
          <w:sz w:val="24"/>
          <w:szCs w:val="24"/>
        </w:rPr>
      </w:pPr>
      <w:r>
        <w:rPr>
          <w:rFonts w:hint="eastAsia" w:ascii="宋体" w:hAnsi="宋体" w:eastAsia="宋体" w:cs="宋体"/>
          <w:color w:val="121212"/>
          <w:sz w:val="24"/>
          <w:szCs w:val="24"/>
        </w:rPr>
        <w:t>4、乙方应积极采取各种措施避免给甲方造成损失或使损失降低到最低限度。</w:t>
      </w:r>
    </w:p>
    <w:p w14:paraId="73591297">
      <w:pPr>
        <w:spacing w:before="14" w:line="360" w:lineRule="auto"/>
        <w:rPr>
          <w:rFonts w:ascii="宋体" w:hAnsi="宋体" w:eastAsia="宋体" w:cs="宋体"/>
          <w:color w:val="121212"/>
          <w:sz w:val="24"/>
          <w:szCs w:val="24"/>
          <w:highlight w:val="none"/>
        </w:rPr>
      </w:pPr>
      <w:r>
        <w:rPr>
          <w:rFonts w:hint="eastAsia" w:ascii="宋体" w:hAnsi="宋体" w:eastAsia="宋体" w:cs="宋体"/>
          <w:b/>
          <w:color w:val="121212"/>
          <w:sz w:val="24"/>
          <w:szCs w:val="24"/>
          <w:highlight w:val="none"/>
        </w:rPr>
        <w:t>十四、合同生效</w:t>
      </w:r>
    </w:p>
    <w:p w14:paraId="05CFDE04">
      <w:pPr>
        <w:spacing w:before="19" w:line="360" w:lineRule="auto"/>
        <w:ind w:left="120" w:right="80" w:firstLine="480"/>
        <w:rPr>
          <w:rFonts w:ascii="宋体" w:hAnsi="宋体" w:eastAsia="宋体" w:cs="宋体"/>
          <w:color w:val="121212"/>
          <w:sz w:val="24"/>
          <w:szCs w:val="24"/>
          <w:highlight w:val="none"/>
        </w:rPr>
      </w:pPr>
      <w:r>
        <w:rPr>
          <w:rFonts w:hint="eastAsia" w:ascii="宋体" w:hAnsi="宋体" w:eastAsia="宋体" w:cs="宋体"/>
          <w:color w:val="121212"/>
          <w:sz w:val="24"/>
          <w:szCs w:val="24"/>
          <w:highlight w:val="none"/>
        </w:rPr>
        <w:t>本合同一式</w:t>
      </w:r>
      <w:r>
        <w:rPr>
          <w:rFonts w:hint="eastAsia" w:ascii="宋体" w:hAnsi="宋体" w:eastAsia="宋体" w:cs="宋体"/>
          <w:color w:val="121212"/>
          <w:sz w:val="24"/>
          <w:szCs w:val="24"/>
          <w:highlight w:val="none"/>
          <w:u w:val="single"/>
        </w:rPr>
        <w:t xml:space="preserve">   </w:t>
      </w:r>
      <w:r>
        <w:rPr>
          <w:rFonts w:hint="eastAsia" w:ascii="宋体" w:hAnsi="宋体" w:eastAsia="宋体" w:cs="宋体"/>
          <w:color w:val="121212"/>
          <w:sz w:val="24"/>
          <w:szCs w:val="24"/>
          <w:highlight w:val="none"/>
        </w:rPr>
        <w:t>份，甲方</w:t>
      </w:r>
      <w:r>
        <w:rPr>
          <w:rFonts w:hint="eastAsia" w:ascii="宋体" w:hAnsi="宋体" w:eastAsia="宋体" w:cs="宋体"/>
          <w:color w:val="121212"/>
          <w:sz w:val="24"/>
          <w:szCs w:val="24"/>
          <w:highlight w:val="none"/>
          <w:u w:val="single"/>
        </w:rPr>
        <w:t xml:space="preserve">   </w:t>
      </w:r>
      <w:r>
        <w:rPr>
          <w:rFonts w:hint="eastAsia" w:ascii="宋体" w:hAnsi="宋体" w:eastAsia="宋体" w:cs="宋体"/>
          <w:color w:val="121212"/>
          <w:sz w:val="24"/>
          <w:szCs w:val="24"/>
          <w:highlight w:val="none"/>
        </w:rPr>
        <w:t>份，乙方</w:t>
      </w:r>
      <w:r>
        <w:rPr>
          <w:rFonts w:hint="eastAsia" w:ascii="宋体" w:hAnsi="宋体" w:eastAsia="宋体" w:cs="宋体"/>
          <w:color w:val="121212"/>
          <w:sz w:val="24"/>
          <w:szCs w:val="24"/>
          <w:highlight w:val="none"/>
          <w:u w:val="single"/>
        </w:rPr>
        <w:t xml:space="preserve">   </w:t>
      </w:r>
      <w:r>
        <w:rPr>
          <w:rFonts w:hint="eastAsia" w:ascii="宋体" w:hAnsi="宋体" w:eastAsia="宋体" w:cs="宋体"/>
          <w:color w:val="121212"/>
          <w:sz w:val="24"/>
          <w:szCs w:val="24"/>
          <w:highlight w:val="none"/>
        </w:rPr>
        <w:t>份。本合同经各方盖章后生效，执行期自</w:t>
      </w:r>
      <w:r>
        <w:rPr>
          <w:rFonts w:hint="eastAsia" w:ascii="宋体" w:hAnsi="宋体" w:eastAsia="宋体" w:cs="宋体"/>
          <w:color w:val="121212"/>
          <w:sz w:val="24"/>
          <w:szCs w:val="24"/>
          <w:highlight w:val="none"/>
          <w:u w:val="single"/>
        </w:rPr>
        <w:t xml:space="preserve">    </w:t>
      </w:r>
      <w:r>
        <w:rPr>
          <w:rFonts w:hint="eastAsia" w:ascii="宋体" w:hAnsi="宋体" w:eastAsia="宋体" w:cs="宋体"/>
          <w:color w:val="121212"/>
          <w:sz w:val="24"/>
          <w:szCs w:val="24"/>
          <w:highlight w:val="none"/>
        </w:rPr>
        <w:t>年</w:t>
      </w:r>
      <w:r>
        <w:rPr>
          <w:rFonts w:hint="eastAsia" w:ascii="宋体" w:hAnsi="宋体" w:eastAsia="宋体" w:cs="宋体"/>
          <w:color w:val="121212"/>
          <w:sz w:val="24"/>
          <w:szCs w:val="24"/>
          <w:highlight w:val="none"/>
          <w:u w:val="single"/>
        </w:rPr>
        <w:t xml:space="preserve">   </w:t>
      </w:r>
      <w:r>
        <w:rPr>
          <w:rFonts w:hint="eastAsia" w:ascii="宋体" w:hAnsi="宋体" w:eastAsia="宋体" w:cs="宋体"/>
          <w:color w:val="121212"/>
          <w:sz w:val="24"/>
          <w:szCs w:val="24"/>
          <w:highlight w:val="none"/>
        </w:rPr>
        <w:t>月</w:t>
      </w:r>
      <w:r>
        <w:rPr>
          <w:rFonts w:hint="eastAsia" w:ascii="宋体" w:hAnsi="宋体" w:eastAsia="宋体" w:cs="宋体"/>
          <w:color w:val="121212"/>
          <w:sz w:val="24"/>
          <w:szCs w:val="24"/>
          <w:highlight w:val="none"/>
          <w:u w:val="single"/>
        </w:rPr>
        <w:t xml:space="preserve">   </w:t>
      </w:r>
      <w:r>
        <w:rPr>
          <w:rFonts w:hint="eastAsia" w:ascii="宋体" w:hAnsi="宋体" w:eastAsia="宋体" w:cs="宋体"/>
          <w:color w:val="121212"/>
          <w:sz w:val="24"/>
          <w:szCs w:val="24"/>
          <w:highlight w:val="none"/>
        </w:rPr>
        <w:t>日起至</w:t>
      </w:r>
      <w:r>
        <w:rPr>
          <w:rFonts w:hint="eastAsia" w:ascii="宋体" w:hAnsi="宋体" w:eastAsia="宋体" w:cs="宋体"/>
          <w:color w:val="121212"/>
          <w:sz w:val="24"/>
          <w:szCs w:val="24"/>
          <w:highlight w:val="none"/>
          <w:u w:val="single"/>
        </w:rPr>
        <w:t xml:space="preserve">     </w:t>
      </w:r>
      <w:r>
        <w:rPr>
          <w:rFonts w:hint="eastAsia" w:ascii="宋体" w:hAnsi="宋体" w:eastAsia="宋体" w:cs="宋体"/>
          <w:color w:val="121212"/>
          <w:sz w:val="24"/>
          <w:szCs w:val="24"/>
          <w:highlight w:val="none"/>
        </w:rPr>
        <w:t>年</w:t>
      </w:r>
      <w:r>
        <w:rPr>
          <w:rFonts w:hint="eastAsia" w:ascii="宋体" w:hAnsi="宋体" w:eastAsia="宋体" w:cs="宋体"/>
          <w:color w:val="121212"/>
          <w:sz w:val="24"/>
          <w:szCs w:val="24"/>
          <w:highlight w:val="none"/>
          <w:u w:val="single"/>
        </w:rPr>
        <w:t xml:space="preserve">   </w:t>
      </w:r>
      <w:r>
        <w:rPr>
          <w:rFonts w:hint="eastAsia" w:ascii="宋体" w:hAnsi="宋体" w:eastAsia="宋体" w:cs="宋体"/>
          <w:color w:val="121212"/>
          <w:sz w:val="24"/>
          <w:szCs w:val="24"/>
          <w:highlight w:val="none"/>
        </w:rPr>
        <w:t>月</w:t>
      </w:r>
      <w:r>
        <w:rPr>
          <w:rFonts w:hint="eastAsia" w:ascii="宋体" w:hAnsi="宋体" w:eastAsia="宋体" w:cs="宋体"/>
          <w:color w:val="121212"/>
          <w:sz w:val="24"/>
          <w:szCs w:val="24"/>
          <w:highlight w:val="none"/>
          <w:u w:val="single"/>
        </w:rPr>
        <w:t xml:space="preserve">   </w:t>
      </w:r>
      <w:r>
        <w:rPr>
          <w:rFonts w:hint="eastAsia" w:ascii="宋体" w:hAnsi="宋体" w:eastAsia="宋体" w:cs="宋体"/>
          <w:color w:val="121212"/>
          <w:sz w:val="24"/>
          <w:szCs w:val="24"/>
          <w:highlight w:val="none"/>
        </w:rPr>
        <w:t>日</w:t>
      </w:r>
      <w:r>
        <w:rPr>
          <w:rFonts w:hint="eastAsia" w:ascii="宋体" w:hAnsi="宋体" w:eastAsia="宋体" w:cs="宋体"/>
          <w:color w:val="121212"/>
          <w:sz w:val="24"/>
          <w:szCs w:val="24"/>
          <w:highlight w:val="none"/>
          <w:lang w:eastAsia="zh-CN"/>
        </w:rPr>
        <w:t>（</w:t>
      </w:r>
      <w:r>
        <w:rPr>
          <w:rFonts w:hint="eastAsia" w:ascii="宋体" w:hAnsi="宋体" w:eastAsia="宋体" w:cs="宋体"/>
          <w:color w:val="121212"/>
          <w:sz w:val="24"/>
          <w:szCs w:val="24"/>
          <w:highlight w:val="none"/>
          <w:lang w:val="en-US" w:eastAsia="zh-CN"/>
        </w:rPr>
        <w:t>合同执行期限为一年</w:t>
      </w:r>
      <w:r>
        <w:rPr>
          <w:rFonts w:hint="eastAsia" w:ascii="宋体" w:hAnsi="宋体" w:eastAsia="宋体" w:cs="宋体"/>
          <w:color w:val="121212"/>
          <w:sz w:val="24"/>
          <w:szCs w:val="24"/>
          <w:highlight w:val="none"/>
          <w:lang w:eastAsia="zh-CN"/>
        </w:rPr>
        <w:t>）</w:t>
      </w:r>
      <w:r>
        <w:rPr>
          <w:rFonts w:hint="eastAsia" w:ascii="宋体" w:hAnsi="宋体" w:eastAsia="宋体" w:cs="宋体"/>
          <w:color w:val="121212"/>
          <w:sz w:val="24"/>
          <w:szCs w:val="24"/>
          <w:highlight w:val="none"/>
        </w:rPr>
        <w:t>。若执行期内，本合同总价款全部支付完成时或本合同标的物经政府采购流程再次成交并签订合同时，则该合同自动终止。</w:t>
      </w:r>
    </w:p>
    <w:p w14:paraId="3255947A">
      <w:pPr>
        <w:spacing w:line="360" w:lineRule="auto"/>
        <w:rPr>
          <w:rFonts w:ascii="宋体" w:hAnsi="宋体" w:eastAsia="宋体" w:cs="宋体"/>
          <w:color w:val="121212"/>
          <w:sz w:val="24"/>
          <w:szCs w:val="24"/>
          <w:highlight w:val="none"/>
        </w:rPr>
      </w:pPr>
      <w:r>
        <w:rPr>
          <w:rFonts w:hint="eastAsia" w:ascii="宋体" w:hAnsi="宋体" w:eastAsia="宋体" w:cs="宋体"/>
          <w:b/>
          <w:color w:val="121212"/>
          <w:sz w:val="24"/>
          <w:szCs w:val="24"/>
          <w:highlight w:val="none"/>
        </w:rPr>
        <w:t>十五、其他事项</w:t>
      </w:r>
    </w:p>
    <w:p w14:paraId="1889480E">
      <w:pPr>
        <w:spacing w:line="360" w:lineRule="auto"/>
        <w:ind w:right="80" w:firstLine="480" w:firstLineChars="200"/>
        <w:rPr>
          <w:rFonts w:ascii="宋体" w:hAnsi="宋体" w:eastAsia="宋体" w:cs="宋体"/>
          <w:color w:val="121212"/>
          <w:sz w:val="24"/>
          <w:szCs w:val="24"/>
          <w:highlight w:val="none"/>
        </w:rPr>
      </w:pPr>
      <w:r>
        <w:rPr>
          <w:rFonts w:hint="eastAsia" w:ascii="宋体" w:hAnsi="宋体" w:eastAsia="宋体" w:cs="宋体"/>
          <w:color w:val="121212"/>
          <w:sz w:val="24"/>
          <w:szCs w:val="24"/>
          <w:highlight w:val="none"/>
        </w:rPr>
        <w:t>1、</w:t>
      </w:r>
      <w:r>
        <w:rPr>
          <w:rFonts w:hint="eastAsia" w:ascii="宋体" w:hAnsi="宋体" w:eastAsia="宋体" w:cs="宋体"/>
          <w:color w:val="121212"/>
          <w:sz w:val="24"/>
          <w:szCs w:val="24"/>
          <w:highlight w:val="none"/>
          <w:lang w:val="en-US" w:eastAsia="zh-CN"/>
        </w:rPr>
        <w:t>成交</w:t>
      </w:r>
      <w:r>
        <w:rPr>
          <w:rFonts w:hint="eastAsia" w:ascii="宋体" w:hAnsi="宋体" w:eastAsia="宋体" w:cs="宋体"/>
          <w:color w:val="121212"/>
          <w:sz w:val="24"/>
          <w:szCs w:val="24"/>
          <w:highlight w:val="none"/>
        </w:rPr>
        <w:t>通知书、</w:t>
      </w:r>
      <w:r>
        <w:rPr>
          <w:rFonts w:hint="eastAsia" w:ascii="宋体" w:hAnsi="宋体" w:eastAsia="宋体" w:cs="宋体"/>
          <w:color w:val="121212"/>
          <w:sz w:val="24"/>
          <w:szCs w:val="24"/>
          <w:highlight w:val="none"/>
          <w:lang w:val="en-US" w:eastAsia="zh-CN"/>
        </w:rPr>
        <w:t>采购</w:t>
      </w:r>
      <w:r>
        <w:rPr>
          <w:rFonts w:hint="eastAsia" w:ascii="宋体" w:hAnsi="宋体" w:eastAsia="宋体" w:cs="宋体"/>
          <w:color w:val="121212"/>
          <w:sz w:val="24"/>
          <w:szCs w:val="24"/>
          <w:highlight w:val="none"/>
        </w:rPr>
        <w:t>文件、</w:t>
      </w:r>
      <w:r>
        <w:rPr>
          <w:rFonts w:hint="eastAsia" w:ascii="宋体" w:hAnsi="宋体" w:eastAsia="宋体" w:cs="宋体"/>
          <w:color w:val="121212"/>
          <w:sz w:val="24"/>
          <w:szCs w:val="24"/>
          <w:highlight w:val="none"/>
          <w:lang w:val="en-US" w:eastAsia="zh-CN"/>
        </w:rPr>
        <w:t>成交供应商</w:t>
      </w:r>
      <w:r>
        <w:rPr>
          <w:rFonts w:hint="eastAsia" w:ascii="宋体" w:hAnsi="宋体" w:eastAsia="宋体" w:cs="宋体"/>
          <w:color w:val="121212"/>
          <w:sz w:val="24"/>
          <w:szCs w:val="24"/>
          <w:highlight w:val="none"/>
        </w:rPr>
        <w:t>的</w:t>
      </w:r>
      <w:r>
        <w:rPr>
          <w:rFonts w:hint="eastAsia" w:ascii="宋体" w:hAnsi="宋体" w:eastAsia="宋体" w:cs="宋体"/>
          <w:color w:val="121212"/>
          <w:sz w:val="24"/>
          <w:szCs w:val="24"/>
          <w:highlight w:val="none"/>
          <w:lang w:val="en-US" w:eastAsia="zh-CN"/>
        </w:rPr>
        <w:t>响应</w:t>
      </w:r>
      <w:r>
        <w:rPr>
          <w:rFonts w:hint="eastAsia" w:ascii="宋体" w:hAnsi="宋体" w:eastAsia="宋体" w:cs="宋体"/>
          <w:color w:val="121212"/>
          <w:sz w:val="24"/>
          <w:szCs w:val="24"/>
          <w:highlight w:val="none"/>
        </w:rPr>
        <w:t>文件及澄清或承诺文件等均为合同的有效组成部分，具有同等法律效力。合同未尽事宜，由甲、乙双方协商确认后，作为合同补充，与原合同具有同等法律效力。</w:t>
      </w:r>
    </w:p>
    <w:p w14:paraId="2AA0E699">
      <w:pPr>
        <w:spacing w:before="88" w:line="360" w:lineRule="auto"/>
        <w:ind w:right="80" w:firstLine="480" w:firstLineChars="200"/>
        <w:rPr>
          <w:rFonts w:ascii="宋体" w:hAnsi="宋体" w:eastAsia="宋体" w:cs="宋体"/>
          <w:color w:val="121212"/>
          <w:sz w:val="24"/>
          <w:szCs w:val="24"/>
          <w:highlight w:val="none"/>
        </w:rPr>
      </w:pPr>
      <w:r>
        <w:rPr>
          <w:rFonts w:hint="eastAsia" w:ascii="宋体" w:hAnsi="宋体" w:eastAsia="宋体" w:cs="宋体"/>
          <w:color w:val="121212"/>
          <w:sz w:val="24"/>
          <w:szCs w:val="24"/>
          <w:highlight w:val="none"/>
        </w:rPr>
        <w:t>2、合同一经签订，不得擅自变更、中止或终止合同。对确需变更、调整或中止、终止合同的，应按规定履行相应的手续。</w:t>
      </w:r>
    </w:p>
    <w:p w14:paraId="4F3C789E">
      <w:pPr>
        <w:spacing w:line="360" w:lineRule="auto"/>
        <w:ind w:firstLine="480" w:firstLineChars="200"/>
        <w:rPr>
          <w:rFonts w:ascii="宋体" w:hAnsi="宋体" w:eastAsia="宋体" w:cs="宋体"/>
          <w:color w:val="121212"/>
          <w:sz w:val="24"/>
          <w:szCs w:val="24"/>
          <w:highlight w:val="none"/>
        </w:rPr>
      </w:pPr>
      <w:r>
        <w:rPr>
          <w:rFonts w:hint="eastAsia" w:ascii="宋体" w:hAnsi="宋体" w:eastAsia="宋体" w:cs="宋体"/>
          <w:color w:val="121212"/>
          <w:sz w:val="24"/>
          <w:szCs w:val="24"/>
          <w:highlight w:val="none"/>
        </w:rPr>
        <w:t>3、本合同按照中华人民共和国的现行法律进行解释。</w:t>
      </w:r>
    </w:p>
    <w:p w14:paraId="68099BF9">
      <w:pPr>
        <w:spacing w:line="360" w:lineRule="auto"/>
        <w:rPr>
          <w:rFonts w:ascii="宋体" w:hAnsi="宋体" w:eastAsia="宋体" w:cs="宋体"/>
          <w:color w:val="121212"/>
          <w:sz w:val="24"/>
          <w:szCs w:val="24"/>
          <w:highlight w:val="none"/>
        </w:rPr>
      </w:pPr>
      <w:r>
        <w:rPr>
          <w:rFonts w:hint="eastAsia" w:ascii="宋体" w:hAnsi="宋体" w:eastAsia="宋体" w:cs="宋体"/>
          <w:color w:val="121212"/>
          <w:sz w:val="24"/>
          <w:szCs w:val="24"/>
          <w:highlight w:val="none"/>
        </w:rPr>
        <w:t>（以下为签章页，无正文）</w:t>
      </w:r>
    </w:p>
    <w:p w14:paraId="2FC5C654">
      <w:pPr>
        <w:spacing w:line="460" w:lineRule="exact"/>
        <w:rPr>
          <w:rFonts w:ascii="宋体" w:hAnsi="宋体" w:cs="宋体"/>
          <w:color w:val="121212"/>
          <w:sz w:val="28"/>
          <w:szCs w:val="28"/>
        </w:rPr>
      </w:pPr>
    </w:p>
    <w:p w14:paraId="35C840C1">
      <w:pPr>
        <w:spacing w:line="460" w:lineRule="exact"/>
        <w:rPr>
          <w:rFonts w:ascii="宋体" w:hAnsi="宋体" w:cs="宋体"/>
          <w:color w:val="121212"/>
          <w:sz w:val="28"/>
          <w:szCs w:val="28"/>
        </w:rPr>
      </w:pPr>
    </w:p>
    <w:p w14:paraId="400E03D7">
      <w:pPr>
        <w:spacing w:line="460" w:lineRule="exact"/>
        <w:rPr>
          <w:rFonts w:ascii="宋体" w:hAnsi="宋体" w:cs="宋体"/>
          <w:color w:val="121212"/>
          <w:sz w:val="28"/>
          <w:szCs w:val="28"/>
        </w:rPr>
      </w:pPr>
    </w:p>
    <w:p w14:paraId="0ADBEA5C">
      <w:pPr>
        <w:spacing w:line="460" w:lineRule="exact"/>
        <w:rPr>
          <w:rFonts w:ascii="宋体" w:hAnsi="宋体" w:cs="宋体"/>
          <w:color w:val="121212"/>
          <w:sz w:val="28"/>
          <w:szCs w:val="28"/>
        </w:rPr>
      </w:pPr>
    </w:p>
    <w:p w14:paraId="4F1927FC">
      <w:pPr>
        <w:spacing w:line="460" w:lineRule="exact"/>
        <w:rPr>
          <w:rFonts w:ascii="宋体" w:hAnsi="宋体" w:cs="宋体"/>
          <w:color w:val="121212"/>
          <w:sz w:val="28"/>
          <w:szCs w:val="28"/>
        </w:rPr>
      </w:pPr>
    </w:p>
    <w:p w14:paraId="290EE08C">
      <w:pPr>
        <w:spacing w:line="460" w:lineRule="exact"/>
        <w:rPr>
          <w:rFonts w:ascii="宋体" w:hAnsi="宋体" w:cs="宋体"/>
          <w:color w:val="121212"/>
          <w:sz w:val="28"/>
          <w:szCs w:val="28"/>
        </w:rPr>
      </w:pPr>
    </w:p>
    <w:p w14:paraId="04D2BB7E">
      <w:pPr>
        <w:spacing w:line="460" w:lineRule="exact"/>
        <w:rPr>
          <w:rFonts w:ascii="宋体" w:hAnsi="宋体" w:cs="宋体"/>
          <w:color w:val="121212"/>
          <w:sz w:val="28"/>
          <w:szCs w:val="28"/>
        </w:rPr>
      </w:pPr>
    </w:p>
    <w:p w14:paraId="4C040420">
      <w:pPr>
        <w:spacing w:line="460" w:lineRule="exact"/>
        <w:rPr>
          <w:rFonts w:ascii="宋体" w:hAnsi="宋体" w:cs="宋体"/>
          <w:color w:val="121212"/>
          <w:sz w:val="28"/>
          <w:szCs w:val="28"/>
        </w:rPr>
      </w:pPr>
    </w:p>
    <w:p w14:paraId="56275689">
      <w:pPr>
        <w:spacing w:line="460" w:lineRule="exact"/>
        <w:rPr>
          <w:rFonts w:ascii="宋体" w:hAnsi="宋体" w:cs="宋体"/>
          <w:color w:val="121212"/>
          <w:sz w:val="28"/>
          <w:szCs w:val="28"/>
        </w:rPr>
      </w:pPr>
    </w:p>
    <w:p w14:paraId="0BD0E935">
      <w:pPr>
        <w:spacing w:line="460" w:lineRule="exact"/>
        <w:rPr>
          <w:rFonts w:ascii="宋体" w:hAnsi="宋体" w:cs="宋体"/>
          <w:color w:val="121212"/>
          <w:sz w:val="28"/>
          <w:szCs w:val="28"/>
        </w:rPr>
      </w:pPr>
    </w:p>
    <w:p w14:paraId="6D09E18C">
      <w:pPr>
        <w:spacing w:line="460" w:lineRule="exact"/>
        <w:rPr>
          <w:rFonts w:ascii="宋体" w:hAnsi="宋体" w:cs="宋体"/>
          <w:color w:val="121212"/>
          <w:sz w:val="28"/>
          <w:szCs w:val="28"/>
        </w:rPr>
      </w:pPr>
    </w:p>
    <w:p w14:paraId="08200E26">
      <w:pPr>
        <w:spacing w:line="460" w:lineRule="exact"/>
        <w:rPr>
          <w:rFonts w:ascii="宋体" w:hAnsi="宋体" w:cs="宋体"/>
          <w:color w:val="121212"/>
          <w:sz w:val="28"/>
          <w:szCs w:val="28"/>
        </w:rPr>
      </w:pPr>
    </w:p>
    <w:p w14:paraId="2CD964C1">
      <w:pPr>
        <w:spacing w:line="460" w:lineRule="exact"/>
        <w:rPr>
          <w:rFonts w:ascii="宋体" w:hAnsi="宋体" w:cs="宋体"/>
          <w:color w:val="121212"/>
          <w:sz w:val="28"/>
          <w:szCs w:val="28"/>
        </w:rPr>
      </w:pPr>
    </w:p>
    <w:p w14:paraId="5295049E">
      <w:pPr>
        <w:spacing w:line="460" w:lineRule="exact"/>
        <w:rPr>
          <w:rFonts w:ascii="宋体" w:hAnsi="宋体" w:cs="宋体"/>
          <w:color w:val="121212"/>
          <w:sz w:val="28"/>
          <w:szCs w:val="28"/>
        </w:rPr>
      </w:pPr>
    </w:p>
    <w:p w14:paraId="15085A98">
      <w:pPr>
        <w:spacing w:line="460" w:lineRule="exact"/>
        <w:rPr>
          <w:rFonts w:ascii="宋体" w:hAnsi="宋体" w:cs="宋体"/>
          <w:color w:val="121212"/>
          <w:sz w:val="28"/>
          <w:szCs w:val="28"/>
        </w:rPr>
      </w:pPr>
    </w:p>
    <w:p w14:paraId="23DFF5CF">
      <w:pPr>
        <w:spacing w:line="460" w:lineRule="exact"/>
        <w:rPr>
          <w:rFonts w:ascii="宋体" w:hAnsi="宋体" w:cs="宋体"/>
          <w:color w:val="121212"/>
          <w:sz w:val="28"/>
          <w:szCs w:val="28"/>
        </w:rPr>
      </w:pPr>
    </w:p>
    <w:p w14:paraId="6082DFAC">
      <w:pPr>
        <w:spacing w:line="460" w:lineRule="exact"/>
        <w:rPr>
          <w:rFonts w:ascii="宋体" w:hAnsi="宋体" w:cs="宋体"/>
          <w:color w:val="121212"/>
          <w:sz w:val="28"/>
          <w:szCs w:val="28"/>
        </w:rPr>
      </w:pPr>
    </w:p>
    <w:p w14:paraId="5C786288">
      <w:pPr>
        <w:spacing w:line="360" w:lineRule="auto"/>
        <w:ind w:firstLine="480" w:firstLineChars="200"/>
        <w:rPr>
          <w:rFonts w:ascii="宋体" w:hAnsi="宋体" w:cs="宋体"/>
          <w:kern w:val="0"/>
          <w:sz w:val="24"/>
          <w:szCs w:val="24"/>
        </w:rPr>
      </w:pPr>
      <w:r>
        <w:rPr>
          <w:rFonts w:hint="eastAsia" w:ascii="宋体" w:hAnsi="宋体" w:cs="宋体"/>
          <w:kern w:val="0"/>
          <w:sz w:val="24"/>
          <w:szCs w:val="24"/>
        </w:rPr>
        <w:t>（以下无正文，为签字盖章页。）</w:t>
      </w:r>
    </w:p>
    <w:p w14:paraId="5B038E21">
      <w:pPr>
        <w:spacing w:line="360" w:lineRule="auto"/>
        <w:ind w:firstLine="480" w:firstLineChars="200"/>
        <w:rPr>
          <w:rFonts w:ascii="宋体" w:hAnsi="宋体" w:cs="宋体"/>
          <w:kern w:val="0"/>
          <w:sz w:val="24"/>
          <w:szCs w:val="24"/>
        </w:rPr>
      </w:pPr>
    </w:p>
    <w:p w14:paraId="123DF988">
      <w:pPr>
        <w:spacing w:line="360" w:lineRule="auto"/>
        <w:ind w:firstLine="480" w:firstLineChars="200"/>
        <w:rPr>
          <w:rFonts w:ascii="宋体" w:hAnsi="宋体" w:cs="宋体"/>
          <w:kern w:val="0"/>
          <w:sz w:val="24"/>
          <w:szCs w:val="24"/>
        </w:rPr>
      </w:pPr>
    </w:p>
    <w:p w14:paraId="32B2F647">
      <w:pPr>
        <w:spacing w:line="480" w:lineRule="auto"/>
        <w:ind w:firstLine="480" w:firstLineChars="200"/>
        <w:rPr>
          <w:rFonts w:ascii="宋体" w:hAnsi="宋体" w:cs="宋体"/>
          <w:kern w:val="0"/>
          <w:sz w:val="24"/>
          <w:szCs w:val="24"/>
        </w:rPr>
      </w:pPr>
      <w:r>
        <w:rPr>
          <w:rFonts w:hint="eastAsia" w:ascii="宋体" w:hAnsi="宋体" w:cs="宋体"/>
          <w:kern w:val="0"/>
          <w:sz w:val="24"/>
          <w:szCs w:val="24"/>
        </w:rPr>
        <w:t>甲方：</w:t>
      </w:r>
      <w:r>
        <w:rPr>
          <w:rFonts w:hint="eastAsia" w:ascii="宋体" w:hAnsi="宋体" w:cs="宋体"/>
          <w:sz w:val="24"/>
          <w:szCs w:val="24"/>
          <w:u w:val="single"/>
        </w:rPr>
        <w:t>西安市中心血站（公章）</w:t>
      </w:r>
      <w:r>
        <w:rPr>
          <w:rFonts w:hint="eastAsia" w:ascii="宋体" w:hAnsi="宋体" w:cs="宋体"/>
          <w:kern w:val="0"/>
          <w:sz w:val="24"/>
          <w:szCs w:val="24"/>
        </w:rPr>
        <w:t xml:space="preserve">                         </w:t>
      </w:r>
    </w:p>
    <w:p w14:paraId="33E02FDC">
      <w:pPr>
        <w:widowControl/>
        <w:spacing w:line="480" w:lineRule="auto"/>
        <w:ind w:firstLine="480" w:firstLineChars="200"/>
        <w:rPr>
          <w:rFonts w:ascii="宋体" w:hAnsi="宋体" w:cs="宋体"/>
          <w:sz w:val="24"/>
          <w:szCs w:val="24"/>
        </w:rPr>
      </w:pPr>
      <w:r>
        <w:rPr>
          <w:rFonts w:hint="eastAsia" w:ascii="宋体" w:hAnsi="宋体" w:cs="宋体"/>
          <w:kern w:val="0"/>
          <w:sz w:val="24"/>
          <w:szCs w:val="24"/>
        </w:rPr>
        <w:t xml:space="preserve">法定代表人或委托代理人（签字或盖章）：              </w:t>
      </w:r>
    </w:p>
    <w:p w14:paraId="4283F644">
      <w:pPr>
        <w:spacing w:line="480" w:lineRule="auto"/>
        <w:ind w:firstLine="480" w:firstLineChars="200"/>
        <w:rPr>
          <w:rFonts w:ascii="宋体" w:hAnsi="宋体" w:cs="宋体"/>
          <w:kern w:val="0"/>
          <w:sz w:val="24"/>
          <w:szCs w:val="24"/>
        </w:rPr>
      </w:pPr>
      <w:r>
        <w:rPr>
          <w:rFonts w:hint="eastAsia" w:ascii="宋体" w:hAnsi="宋体" w:cs="宋体"/>
          <w:kern w:val="0"/>
          <w:sz w:val="24"/>
          <w:szCs w:val="24"/>
        </w:rPr>
        <w:t>签订日期：2026年   月   日</w:t>
      </w:r>
    </w:p>
    <w:p w14:paraId="420A1678">
      <w:pPr>
        <w:widowControl/>
        <w:spacing w:line="480" w:lineRule="auto"/>
        <w:ind w:firstLine="480" w:firstLineChars="200"/>
        <w:rPr>
          <w:rFonts w:ascii="宋体" w:hAnsi="宋体" w:cs="宋体"/>
          <w:kern w:val="0"/>
          <w:sz w:val="24"/>
          <w:szCs w:val="24"/>
        </w:rPr>
      </w:pPr>
    </w:p>
    <w:p w14:paraId="4F682AF9">
      <w:pPr>
        <w:widowControl/>
        <w:spacing w:line="480" w:lineRule="auto"/>
        <w:ind w:firstLine="480" w:firstLineChars="200"/>
        <w:rPr>
          <w:rFonts w:ascii="宋体" w:hAnsi="宋体" w:cs="宋体"/>
          <w:kern w:val="0"/>
          <w:sz w:val="24"/>
          <w:szCs w:val="24"/>
        </w:rPr>
      </w:pPr>
      <w:r>
        <w:rPr>
          <w:rFonts w:hint="eastAsia" w:ascii="宋体" w:hAnsi="宋体" w:cs="宋体"/>
          <w:kern w:val="0"/>
          <w:sz w:val="24"/>
          <w:szCs w:val="24"/>
        </w:rPr>
        <w:t>乙方：</w:t>
      </w:r>
      <w:r>
        <w:rPr>
          <w:rFonts w:hint="eastAsia" w:ascii="宋体" w:hAnsi="宋体" w:cs="宋体"/>
          <w:sz w:val="24"/>
          <w:szCs w:val="24"/>
          <w:u w:val="single"/>
        </w:rPr>
        <w:t xml:space="preserve">               （公章）</w:t>
      </w:r>
    </w:p>
    <w:p w14:paraId="51948ABC">
      <w:pPr>
        <w:widowControl/>
        <w:spacing w:line="480" w:lineRule="auto"/>
        <w:ind w:firstLine="480" w:firstLineChars="200"/>
        <w:rPr>
          <w:rFonts w:ascii="宋体" w:hAnsi="宋体" w:cs="宋体"/>
          <w:kern w:val="0"/>
          <w:sz w:val="24"/>
          <w:szCs w:val="24"/>
        </w:rPr>
      </w:pPr>
      <w:r>
        <w:rPr>
          <w:rFonts w:hint="eastAsia" w:ascii="宋体" w:hAnsi="宋体" w:cs="宋体"/>
          <w:kern w:val="0"/>
          <w:sz w:val="24"/>
          <w:szCs w:val="24"/>
        </w:rPr>
        <w:t>法定代表人或委托代理人（签字或盖章）：</w:t>
      </w:r>
    </w:p>
    <w:p w14:paraId="11B22915">
      <w:pPr>
        <w:spacing w:line="480" w:lineRule="auto"/>
        <w:ind w:firstLine="480" w:firstLineChars="200"/>
        <w:rPr>
          <w:rFonts w:ascii="宋体" w:hAnsi="宋体" w:cs="宋体"/>
          <w:kern w:val="0"/>
          <w:sz w:val="24"/>
          <w:szCs w:val="24"/>
        </w:rPr>
      </w:pPr>
      <w:r>
        <w:rPr>
          <w:rFonts w:hint="eastAsia" w:ascii="宋体" w:hAnsi="宋体" w:cs="宋体"/>
          <w:kern w:val="0"/>
          <w:sz w:val="24"/>
          <w:szCs w:val="24"/>
        </w:rPr>
        <w:t>签订日期：2026年   月   日</w:t>
      </w:r>
    </w:p>
    <w:p w14:paraId="6C890A76">
      <w:pPr>
        <w:spacing w:line="360" w:lineRule="auto"/>
        <w:ind w:firstLine="482" w:firstLineChars="200"/>
        <w:rPr>
          <w:rFonts w:ascii="宋体" w:hAnsi="宋体" w:cs="宋体"/>
          <w:b/>
          <w:bCs/>
          <w:sz w:val="24"/>
          <w:szCs w:val="24"/>
        </w:rPr>
      </w:pPr>
    </w:p>
    <w:p w14:paraId="43D693AF">
      <w:pPr>
        <w:spacing w:line="360" w:lineRule="auto"/>
        <w:ind w:firstLine="482" w:firstLineChars="200"/>
        <w:rPr>
          <w:rFonts w:ascii="宋体" w:hAnsi="宋体" w:cs="宋体"/>
          <w:b/>
          <w:bCs/>
          <w:sz w:val="24"/>
          <w:szCs w:val="24"/>
        </w:rPr>
      </w:pPr>
    </w:p>
    <w:p w14:paraId="2BCC8F11">
      <w:pPr>
        <w:spacing w:line="360" w:lineRule="auto"/>
        <w:ind w:firstLine="482" w:firstLineChars="200"/>
        <w:rPr>
          <w:rFonts w:ascii="宋体" w:hAnsi="宋体" w:cs="宋体"/>
          <w:b/>
          <w:bCs/>
          <w:sz w:val="24"/>
          <w:szCs w:val="24"/>
        </w:rPr>
      </w:pPr>
    </w:p>
    <w:p w14:paraId="77537ABE">
      <w:pPr>
        <w:spacing w:line="360" w:lineRule="auto"/>
        <w:ind w:firstLine="482" w:firstLineChars="200"/>
        <w:rPr>
          <w:rFonts w:ascii="宋体" w:hAnsi="宋体" w:cs="宋体"/>
          <w:b/>
          <w:bCs/>
          <w:sz w:val="24"/>
          <w:szCs w:val="24"/>
        </w:rPr>
      </w:pPr>
    </w:p>
    <w:p w14:paraId="52AD5E2F">
      <w:pPr>
        <w:spacing w:line="360" w:lineRule="auto"/>
        <w:ind w:firstLine="482" w:firstLineChars="200"/>
        <w:rPr>
          <w:rFonts w:ascii="宋体" w:hAnsi="宋体" w:cs="宋体"/>
          <w:b/>
          <w:bCs/>
          <w:sz w:val="24"/>
          <w:szCs w:val="24"/>
        </w:rPr>
      </w:pPr>
    </w:p>
    <w:p w14:paraId="165F441D">
      <w:pPr>
        <w:spacing w:line="360" w:lineRule="auto"/>
        <w:ind w:firstLine="482" w:firstLineChars="200"/>
        <w:rPr>
          <w:rFonts w:ascii="宋体" w:hAnsi="宋体" w:cs="宋体"/>
          <w:b/>
          <w:bCs/>
          <w:sz w:val="24"/>
          <w:szCs w:val="24"/>
        </w:rPr>
      </w:pPr>
    </w:p>
    <w:p w14:paraId="69E594F8">
      <w:pPr>
        <w:spacing w:line="360" w:lineRule="auto"/>
        <w:ind w:firstLine="482" w:firstLineChars="200"/>
        <w:rPr>
          <w:rFonts w:ascii="宋体" w:hAnsi="宋体" w:cs="宋体"/>
          <w:b/>
          <w:bCs/>
          <w:sz w:val="24"/>
          <w:szCs w:val="24"/>
        </w:rPr>
      </w:pPr>
    </w:p>
    <w:p w14:paraId="12A3EDE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7F758F"/>
    <w:rsid w:val="3C7F75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120"/>
      <w:outlineLvl w:val="0"/>
    </w:pPr>
    <w:rPr>
      <w:rFonts w:cs="Calibri"/>
      <w:b/>
      <w:bCs/>
      <w:kern w:val="44"/>
      <w:szCs w:val="44"/>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1</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2026-05-21T09:25:00Z</dcterms:created>
  <dc:creator>开瑞</dc:creator>
  <cp:lastModifiedBy>开瑞</cp:lastModifiedBy>
  <dcterms:modified xsi:type="dcterms:W3CDTF">2026-05-21T09:27:27Z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326E140F0BFA429FB2B33CF656902E68_11</vt:lpwstr>
  </property>
  <property fmtid="{D5CDD505-2E9C-101B-9397-08002B2CF9AE}" pid="4" name="KSOTemplateDocerSaveRecord">
    <vt:lpwstr>eyJoZGlkIjoiYmFlMzhiZDNmYmJmZGRiZmViOTBlY2QzZmNjZjk0OTIiLCJ1c2VySWQiOiIxMTIxOTQ2NjQ4In0=</vt:lpwstr>
  </property>
</Properties>
</file>